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85666" w14:textId="77777777" w:rsidR="005B76A0" w:rsidRDefault="00000000">
      <w:pPr>
        <w:pStyle w:val="Title"/>
      </w:pPr>
      <w:r>
        <w:t>Portfolio Optimization – Markowitz Mean-Variance Analysis</w:t>
      </w:r>
    </w:p>
    <w:p w14:paraId="29877C9E" w14:textId="77777777" w:rsidR="005B76A0" w:rsidRDefault="00000000">
      <w:pPr>
        <w:pStyle w:val="Heading1"/>
      </w:pPr>
      <w:r>
        <w:t>1. Overview</w:t>
      </w:r>
    </w:p>
    <w:p w14:paraId="4DC49303" w14:textId="77777777" w:rsidR="005B76A0" w:rsidRDefault="00000000">
      <w:r>
        <w:t>This analysis implements the classical Markowitz Mean–Variance Portfolio Optimization framework, which seeks to identify portfolios offering the best possible expected return for a given level of risk. Using daily historical data from a diversified universe of large-cap U.S. equities, the analysis estimates expected returns, covariances, and constructs the efficient frontier under realistic constraints.</w:t>
      </w:r>
    </w:p>
    <w:p w14:paraId="0948BD39" w14:textId="77777777" w:rsidR="005B76A0" w:rsidRDefault="00000000">
      <w:pPr>
        <w:pStyle w:val="Heading1"/>
      </w:pPr>
      <w:r>
        <w:t>2. Inputs and Outputs</w:t>
      </w:r>
    </w:p>
    <w:p w14:paraId="468FF319" w14:textId="77777777" w:rsidR="005B76A0" w:rsidRDefault="00000000">
      <w:r>
        <w:t>The portfolio is composed of ten large-cap U.S. equities across major sectors. Data were sourced from Yahoo Finance between January 1, 2023, and November 1, 2025. The assets and their respective sectors are listed below:</w:t>
      </w:r>
    </w:p>
    <w:tbl>
      <w:tblPr>
        <w:tblW w:w="0" w:type="auto"/>
        <w:tblBorders>
          <w:top w:val="single" w:sz="12" w:space="0" w:color="4F81BD" w:themeColor="accent1"/>
          <w:left w:val="single" w:sz="12" w:space="0" w:color="4F81BD" w:themeColor="accent1"/>
          <w:bottom w:val="single" w:sz="12" w:space="0" w:color="4F81BD" w:themeColor="accent1"/>
          <w:right w:val="single" w:sz="12" w:space="0" w:color="4F81BD" w:themeColor="accent1"/>
          <w:insideH w:val="single" w:sz="12" w:space="0" w:color="4F81BD" w:themeColor="accent1"/>
          <w:insideV w:val="single" w:sz="12" w:space="0" w:color="4F81BD" w:themeColor="accent1"/>
        </w:tblBorders>
        <w:tblLook w:val="04A0" w:firstRow="1" w:lastRow="0" w:firstColumn="1" w:lastColumn="0" w:noHBand="0" w:noVBand="1"/>
      </w:tblPr>
      <w:tblGrid>
        <w:gridCol w:w="2866"/>
        <w:gridCol w:w="2871"/>
        <w:gridCol w:w="2873"/>
      </w:tblGrid>
      <w:tr w:rsidR="005B76A0" w14:paraId="2519B8BE" w14:textId="77777777" w:rsidTr="00255C9B">
        <w:tc>
          <w:tcPr>
            <w:tcW w:w="2880" w:type="dxa"/>
          </w:tcPr>
          <w:p w14:paraId="1B6DD330" w14:textId="77777777" w:rsidR="005B76A0" w:rsidRDefault="00000000">
            <w:r>
              <w:t>Ticker</w:t>
            </w:r>
          </w:p>
        </w:tc>
        <w:tc>
          <w:tcPr>
            <w:tcW w:w="2880" w:type="dxa"/>
          </w:tcPr>
          <w:p w14:paraId="5F4B8864" w14:textId="77777777" w:rsidR="005B76A0" w:rsidRDefault="00000000">
            <w:r>
              <w:t>Company</w:t>
            </w:r>
          </w:p>
        </w:tc>
        <w:tc>
          <w:tcPr>
            <w:tcW w:w="2880" w:type="dxa"/>
          </w:tcPr>
          <w:p w14:paraId="6FBC47C1" w14:textId="77777777" w:rsidR="005B76A0" w:rsidRDefault="00000000">
            <w:r>
              <w:t>Sector</w:t>
            </w:r>
          </w:p>
        </w:tc>
      </w:tr>
      <w:tr w:rsidR="005B76A0" w14:paraId="6BA48AE9" w14:textId="77777777" w:rsidTr="00255C9B">
        <w:tc>
          <w:tcPr>
            <w:tcW w:w="2880" w:type="dxa"/>
          </w:tcPr>
          <w:p w14:paraId="66D10DA3" w14:textId="77777777" w:rsidR="005B76A0" w:rsidRDefault="00000000">
            <w:r>
              <w:t>AAPL</w:t>
            </w:r>
          </w:p>
        </w:tc>
        <w:tc>
          <w:tcPr>
            <w:tcW w:w="2880" w:type="dxa"/>
          </w:tcPr>
          <w:p w14:paraId="7D052464" w14:textId="77777777" w:rsidR="005B76A0" w:rsidRDefault="00000000">
            <w:r>
              <w:t>Apple Inc.</w:t>
            </w:r>
          </w:p>
        </w:tc>
        <w:tc>
          <w:tcPr>
            <w:tcW w:w="2880" w:type="dxa"/>
          </w:tcPr>
          <w:p w14:paraId="49520C09" w14:textId="77777777" w:rsidR="005B76A0" w:rsidRDefault="00000000">
            <w:r>
              <w:t>Technology</w:t>
            </w:r>
          </w:p>
        </w:tc>
      </w:tr>
      <w:tr w:rsidR="005B76A0" w14:paraId="55924BE4" w14:textId="77777777" w:rsidTr="00255C9B">
        <w:tc>
          <w:tcPr>
            <w:tcW w:w="2880" w:type="dxa"/>
          </w:tcPr>
          <w:p w14:paraId="2271FE17" w14:textId="77777777" w:rsidR="005B76A0" w:rsidRDefault="00000000">
            <w:r>
              <w:t>MSFT</w:t>
            </w:r>
          </w:p>
        </w:tc>
        <w:tc>
          <w:tcPr>
            <w:tcW w:w="2880" w:type="dxa"/>
          </w:tcPr>
          <w:p w14:paraId="0A2D6BFC" w14:textId="77777777" w:rsidR="005B76A0" w:rsidRDefault="00000000">
            <w:r>
              <w:t>Microsoft Corporation</w:t>
            </w:r>
          </w:p>
        </w:tc>
        <w:tc>
          <w:tcPr>
            <w:tcW w:w="2880" w:type="dxa"/>
          </w:tcPr>
          <w:p w14:paraId="0B945BCC" w14:textId="77777777" w:rsidR="005B76A0" w:rsidRDefault="00000000">
            <w:r>
              <w:t>Technology</w:t>
            </w:r>
          </w:p>
        </w:tc>
      </w:tr>
      <w:tr w:rsidR="005B76A0" w14:paraId="49B2205B" w14:textId="77777777" w:rsidTr="00255C9B">
        <w:tc>
          <w:tcPr>
            <w:tcW w:w="2880" w:type="dxa"/>
          </w:tcPr>
          <w:p w14:paraId="68765F2A" w14:textId="77777777" w:rsidR="005B76A0" w:rsidRDefault="00000000">
            <w:r>
              <w:t>GOOG</w:t>
            </w:r>
          </w:p>
        </w:tc>
        <w:tc>
          <w:tcPr>
            <w:tcW w:w="2880" w:type="dxa"/>
          </w:tcPr>
          <w:p w14:paraId="202DB955" w14:textId="77777777" w:rsidR="005B76A0" w:rsidRDefault="00000000">
            <w:r>
              <w:t>Alphabet Inc.</w:t>
            </w:r>
          </w:p>
        </w:tc>
        <w:tc>
          <w:tcPr>
            <w:tcW w:w="2880" w:type="dxa"/>
          </w:tcPr>
          <w:p w14:paraId="152BBB03" w14:textId="77777777" w:rsidR="005B76A0" w:rsidRDefault="00000000">
            <w:r>
              <w:t>Communication Services</w:t>
            </w:r>
          </w:p>
        </w:tc>
      </w:tr>
      <w:tr w:rsidR="005B76A0" w14:paraId="3E7E6636" w14:textId="77777777" w:rsidTr="00255C9B">
        <w:tc>
          <w:tcPr>
            <w:tcW w:w="2880" w:type="dxa"/>
          </w:tcPr>
          <w:p w14:paraId="51901AB9" w14:textId="77777777" w:rsidR="005B76A0" w:rsidRDefault="00000000">
            <w:r>
              <w:t>AMZN</w:t>
            </w:r>
          </w:p>
        </w:tc>
        <w:tc>
          <w:tcPr>
            <w:tcW w:w="2880" w:type="dxa"/>
          </w:tcPr>
          <w:p w14:paraId="205E18FB" w14:textId="77777777" w:rsidR="005B76A0" w:rsidRDefault="00000000">
            <w:r>
              <w:t>Amazon.com Inc.</w:t>
            </w:r>
          </w:p>
        </w:tc>
        <w:tc>
          <w:tcPr>
            <w:tcW w:w="2880" w:type="dxa"/>
          </w:tcPr>
          <w:p w14:paraId="54F10CA1" w14:textId="77777777" w:rsidR="005B76A0" w:rsidRDefault="00000000">
            <w:r>
              <w:t>Consumer Discretionary</w:t>
            </w:r>
          </w:p>
        </w:tc>
      </w:tr>
      <w:tr w:rsidR="005B76A0" w14:paraId="4BE6EF81" w14:textId="77777777" w:rsidTr="00255C9B">
        <w:tc>
          <w:tcPr>
            <w:tcW w:w="2880" w:type="dxa"/>
          </w:tcPr>
          <w:p w14:paraId="12240AC6" w14:textId="77777777" w:rsidR="005B76A0" w:rsidRDefault="00000000">
            <w:r>
              <w:t>NVDA</w:t>
            </w:r>
          </w:p>
        </w:tc>
        <w:tc>
          <w:tcPr>
            <w:tcW w:w="2880" w:type="dxa"/>
          </w:tcPr>
          <w:p w14:paraId="0BBE09A7" w14:textId="77777777" w:rsidR="005B76A0" w:rsidRDefault="00000000">
            <w:r>
              <w:t>NVIDIA Corporation</w:t>
            </w:r>
          </w:p>
        </w:tc>
        <w:tc>
          <w:tcPr>
            <w:tcW w:w="2880" w:type="dxa"/>
          </w:tcPr>
          <w:p w14:paraId="1484F63B" w14:textId="77777777" w:rsidR="005B76A0" w:rsidRDefault="00000000">
            <w:r>
              <w:t>Semiconductors</w:t>
            </w:r>
          </w:p>
        </w:tc>
      </w:tr>
      <w:tr w:rsidR="005B76A0" w14:paraId="307B1C44" w14:textId="77777777" w:rsidTr="00255C9B">
        <w:tc>
          <w:tcPr>
            <w:tcW w:w="2880" w:type="dxa"/>
          </w:tcPr>
          <w:p w14:paraId="757EF8EF" w14:textId="77777777" w:rsidR="005B76A0" w:rsidRDefault="00000000">
            <w:r>
              <w:t>JPM</w:t>
            </w:r>
          </w:p>
        </w:tc>
        <w:tc>
          <w:tcPr>
            <w:tcW w:w="2880" w:type="dxa"/>
          </w:tcPr>
          <w:p w14:paraId="2320D732" w14:textId="77777777" w:rsidR="005B76A0" w:rsidRDefault="00000000">
            <w:r>
              <w:t>JPMorgan Chase &amp; Co.</w:t>
            </w:r>
          </w:p>
        </w:tc>
        <w:tc>
          <w:tcPr>
            <w:tcW w:w="2880" w:type="dxa"/>
          </w:tcPr>
          <w:p w14:paraId="3DEC6212" w14:textId="77777777" w:rsidR="005B76A0" w:rsidRDefault="00000000">
            <w:r>
              <w:t>Financials</w:t>
            </w:r>
          </w:p>
        </w:tc>
      </w:tr>
      <w:tr w:rsidR="005B76A0" w14:paraId="571E1813" w14:textId="77777777" w:rsidTr="00255C9B">
        <w:tc>
          <w:tcPr>
            <w:tcW w:w="2880" w:type="dxa"/>
          </w:tcPr>
          <w:p w14:paraId="7DF81A5E" w14:textId="77777777" w:rsidR="005B76A0" w:rsidRDefault="00000000">
            <w:r>
              <w:t>V</w:t>
            </w:r>
          </w:p>
        </w:tc>
        <w:tc>
          <w:tcPr>
            <w:tcW w:w="2880" w:type="dxa"/>
          </w:tcPr>
          <w:p w14:paraId="321874CC" w14:textId="77777777" w:rsidR="005B76A0" w:rsidRDefault="00000000">
            <w:r>
              <w:t>Visa Inc.</w:t>
            </w:r>
          </w:p>
        </w:tc>
        <w:tc>
          <w:tcPr>
            <w:tcW w:w="2880" w:type="dxa"/>
          </w:tcPr>
          <w:p w14:paraId="6F45781E" w14:textId="77777777" w:rsidR="005B76A0" w:rsidRDefault="00000000">
            <w:r>
              <w:t>Financials / Payments</w:t>
            </w:r>
          </w:p>
        </w:tc>
      </w:tr>
      <w:tr w:rsidR="005B76A0" w14:paraId="119B90B9" w14:textId="77777777" w:rsidTr="00255C9B">
        <w:tc>
          <w:tcPr>
            <w:tcW w:w="2880" w:type="dxa"/>
          </w:tcPr>
          <w:p w14:paraId="388E7070" w14:textId="77777777" w:rsidR="005B76A0" w:rsidRDefault="00000000">
            <w:r>
              <w:t>XOM</w:t>
            </w:r>
          </w:p>
        </w:tc>
        <w:tc>
          <w:tcPr>
            <w:tcW w:w="2880" w:type="dxa"/>
          </w:tcPr>
          <w:p w14:paraId="4B7C42DE" w14:textId="77777777" w:rsidR="005B76A0" w:rsidRDefault="00000000">
            <w:r>
              <w:t>Exxon Mobil Corporation</w:t>
            </w:r>
          </w:p>
        </w:tc>
        <w:tc>
          <w:tcPr>
            <w:tcW w:w="2880" w:type="dxa"/>
          </w:tcPr>
          <w:p w14:paraId="791E11BE" w14:textId="77777777" w:rsidR="005B76A0" w:rsidRDefault="00000000">
            <w:r>
              <w:t>Energy</w:t>
            </w:r>
          </w:p>
        </w:tc>
      </w:tr>
      <w:tr w:rsidR="005B76A0" w14:paraId="0636E727" w14:textId="77777777" w:rsidTr="00255C9B">
        <w:tc>
          <w:tcPr>
            <w:tcW w:w="2880" w:type="dxa"/>
          </w:tcPr>
          <w:p w14:paraId="180BD5DD" w14:textId="77777777" w:rsidR="005B76A0" w:rsidRDefault="00000000">
            <w:r>
              <w:t>UNH</w:t>
            </w:r>
          </w:p>
        </w:tc>
        <w:tc>
          <w:tcPr>
            <w:tcW w:w="2880" w:type="dxa"/>
          </w:tcPr>
          <w:p w14:paraId="19182BCC" w14:textId="77777777" w:rsidR="005B76A0" w:rsidRDefault="00000000">
            <w:r>
              <w:t>UnitedHealth Group Incorporated</w:t>
            </w:r>
          </w:p>
        </w:tc>
        <w:tc>
          <w:tcPr>
            <w:tcW w:w="2880" w:type="dxa"/>
          </w:tcPr>
          <w:p w14:paraId="4F54E08A" w14:textId="77777777" w:rsidR="005B76A0" w:rsidRDefault="00000000">
            <w:r>
              <w:t>Healthcare</w:t>
            </w:r>
          </w:p>
        </w:tc>
      </w:tr>
      <w:tr w:rsidR="005B76A0" w14:paraId="5533B5ED" w14:textId="77777777" w:rsidTr="00255C9B">
        <w:tc>
          <w:tcPr>
            <w:tcW w:w="2880" w:type="dxa"/>
          </w:tcPr>
          <w:p w14:paraId="034E6E8E" w14:textId="77777777" w:rsidR="005B76A0" w:rsidRDefault="00000000">
            <w:r>
              <w:t>META</w:t>
            </w:r>
          </w:p>
        </w:tc>
        <w:tc>
          <w:tcPr>
            <w:tcW w:w="2880" w:type="dxa"/>
          </w:tcPr>
          <w:p w14:paraId="72F3F794" w14:textId="77777777" w:rsidR="005B76A0" w:rsidRDefault="00000000">
            <w:r>
              <w:t>Meta Platforms Inc.</w:t>
            </w:r>
          </w:p>
        </w:tc>
        <w:tc>
          <w:tcPr>
            <w:tcW w:w="2880" w:type="dxa"/>
          </w:tcPr>
          <w:p w14:paraId="146DD93D" w14:textId="77777777" w:rsidR="005B76A0" w:rsidRDefault="00000000">
            <w:r>
              <w:t>Communication Services</w:t>
            </w:r>
          </w:p>
        </w:tc>
      </w:tr>
    </w:tbl>
    <w:p w14:paraId="3BD72ADA" w14:textId="77777777" w:rsidR="005B76A0" w:rsidRDefault="00000000">
      <w:r>
        <w:t>The selection provides exposure to both growth-oriented and defensive industries, ensuring sector diversification and a realistic covariance structure.</w:t>
      </w:r>
    </w:p>
    <w:p w14:paraId="4893BA4C" w14:textId="77777777" w:rsidR="005B76A0" w:rsidRDefault="00000000">
      <w:r>
        <w:t>The efficient frontier and tangent portfolio chart (Capital Market Line) are shown below:</w:t>
      </w:r>
    </w:p>
    <w:p w14:paraId="665ECBED" w14:textId="77777777" w:rsidR="005B76A0" w:rsidRDefault="00000000">
      <w:r>
        <w:rPr>
          <w:noProof/>
        </w:rPr>
        <w:lastRenderedPageBreak/>
        <w:drawing>
          <wp:inline distT="0" distB="0" distL="0" distR="0" wp14:anchorId="630D4F28" wp14:editId="10A2A85F">
            <wp:extent cx="5486400" cy="39076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3bce2c-c1f6-4dbf-8a93-1b630077ac3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2687" w14:textId="77777777" w:rsidR="005B76A0" w:rsidRDefault="00000000">
      <w:pPr>
        <w:pStyle w:val="Heading1"/>
      </w:pPr>
      <w:r>
        <w:t>3. Methodology</w:t>
      </w:r>
    </w:p>
    <w:p w14:paraId="7C4CE44D" w14:textId="77777777" w:rsidR="005B76A0" w:rsidRDefault="00000000">
      <w:r>
        <w:t>The optimization minimizes portfolio variance subject to target return levels using convex optimization via CVXPY. Constraints include full investment (weights summing to 1), no short selling (weights ≥ 0), and a maximum allocation cap of 30% per asset. The efficient frontier is generated by iterating over a grid of target returns and solving for the minimum variance portfolio at each level.</w:t>
      </w:r>
    </w:p>
    <w:p w14:paraId="2CDF6751" w14:textId="77777777" w:rsidR="005B76A0" w:rsidRDefault="00000000">
      <w:pPr>
        <w:pStyle w:val="Heading1"/>
      </w:pPr>
      <w:r>
        <w:t>4. Tangent Portfolio Optimization</w:t>
      </w:r>
    </w:p>
    <w:p w14:paraId="118B6652" w14:textId="77777777" w:rsidR="005B76A0" w:rsidRDefault="00000000">
      <w:r>
        <w:t>The tangent (maximum Sharpe) portfolio is derived directly from the efficient frontier. For each portfolio on the frontier, the Sharpe ratio is computed as the excess return over risk-free rate divided by portfolio risk. The tangent portfolio corresponds to the maximum Sharpe ratio, representing the optimal risk-return tradeoff.</w:t>
      </w:r>
    </w:p>
    <w:p w14:paraId="3D97F036" w14:textId="77777777" w:rsidR="00255C9B" w:rsidRDefault="00255C9B">
      <w:pPr>
        <w:pStyle w:val="Heading1"/>
      </w:pPr>
    </w:p>
    <w:p w14:paraId="250EBB75" w14:textId="77777777" w:rsidR="00255C9B" w:rsidRDefault="00255C9B">
      <w:pPr>
        <w:pStyle w:val="Heading1"/>
      </w:pPr>
    </w:p>
    <w:p w14:paraId="2BE10DBD" w14:textId="71AA15AE" w:rsidR="005B76A0" w:rsidRDefault="00000000">
      <w:pPr>
        <w:pStyle w:val="Heading1"/>
      </w:pPr>
      <w:r>
        <w:t>5. Results</w:t>
      </w:r>
    </w:p>
    <w:p w14:paraId="73D8DD1B" w14:textId="77777777" w:rsidR="005B76A0" w:rsidRDefault="00000000">
      <w:r>
        <w:t>Key portfolio metrics are summarized below:</w:t>
      </w:r>
    </w:p>
    <w:tbl>
      <w:tblPr>
        <w:tblW w:w="0" w:type="auto"/>
        <w:tblBorders>
          <w:top w:val="single" w:sz="12" w:space="0" w:color="4F81BD" w:themeColor="accent1"/>
          <w:left w:val="single" w:sz="12" w:space="0" w:color="4F81BD" w:themeColor="accent1"/>
          <w:bottom w:val="single" w:sz="12" w:space="0" w:color="4F81BD" w:themeColor="accent1"/>
          <w:right w:val="single" w:sz="12" w:space="0" w:color="4F81BD" w:themeColor="accent1"/>
          <w:insideH w:val="single" w:sz="12" w:space="0" w:color="4F81BD" w:themeColor="accent1"/>
          <w:insideV w:val="single" w:sz="12" w:space="0" w:color="4F81BD" w:themeColor="accent1"/>
        </w:tblBorders>
        <w:tblLook w:val="04A0" w:firstRow="1" w:lastRow="0" w:firstColumn="1" w:lastColumn="0" w:noHBand="0" w:noVBand="1"/>
      </w:tblPr>
      <w:tblGrid>
        <w:gridCol w:w="2154"/>
        <w:gridCol w:w="2152"/>
        <w:gridCol w:w="2152"/>
        <w:gridCol w:w="2152"/>
      </w:tblGrid>
      <w:tr w:rsidR="005B76A0" w14:paraId="35F526FC" w14:textId="77777777" w:rsidTr="00255C9B">
        <w:tc>
          <w:tcPr>
            <w:tcW w:w="2160" w:type="dxa"/>
          </w:tcPr>
          <w:p w14:paraId="61A73FA8" w14:textId="77777777" w:rsidR="005B76A0" w:rsidRDefault="00000000">
            <w:r>
              <w:t>Portfolio</w:t>
            </w:r>
          </w:p>
        </w:tc>
        <w:tc>
          <w:tcPr>
            <w:tcW w:w="2160" w:type="dxa"/>
          </w:tcPr>
          <w:p w14:paraId="6841EA9E" w14:textId="77777777" w:rsidR="005B76A0" w:rsidRDefault="00000000">
            <w:r>
              <w:t>Annual Return</w:t>
            </w:r>
          </w:p>
        </w:tc>
        <w:tc>
          <w:tcPr>
            <w:tcW w:w="2160" w:type="dxa"/>
          </w:tcPr>
          <w:p w14:paraId="43D2A064" w14:textId="77777777" w:rsidR="005B76A0" w:rsidRDefault="00000000">
            <w:r>
              <w:t>Annual Risk</w:t>
            </w:r>
          </w:p>
        </w:tc>
        <w:tc>
          <w:tcPr>
            <w:tcW w:w="2160" w:type="dxa"/>
          </w:tcPr>
          <w:p w14:paraId="025FF2E0" w14:textId="77777777" w:rsidR="005B76A0" w:rsidRDefault="00000000">
            <w:r>
              <w:t>Sharpe Ratio</w:t>
            </w:r>
          </w:p>
        </w:tc>
      </w:tr>
      <w:tr w:rsidR="00255C9B" w14:paraId="547F29F9" w14:textId="77777777" w:rsidTr="00255C9B">
        <w:tc>
          <w:tcPr>
            <w:tcW w:w="2160" w:type="dxa"/>
          </w:tcPr>
          <w:p w14:paraId="18E56074" w14:textId="70ACD04A" w:rsidR="00255C9B" w:rsidRDefault="00255C9B">
            <w:r>
              <w:t>Equal Weight Portfolio</w:t>
            </w:r>
          </w:p>
        </w:tc>
        <w:tc>
          <w:tcPr>
            <w:tcW w:w="2160" w:type="dxa"/>
          </w:tcPr>
          <w:p w14:paraId="32B1F086" w14:textId="30BF9494" w:rsidR="00255C9B" w:rsidRDefault="00255C9B">
            <w:r>
              <w:t>37.93%</w:t>
            </w:r>
          </w:p>
        </w:tc>
        <w:tc>
          <w:tcPr>
            <w:tcW w:w="2160" w:type="dxa"/>
          </w:tcPr>
          <w:p w14:paraId="6F6508DD" w14:textId="40B3C89C" w:rsidR="00255C9B" w:rsidRDefault="00255C9B">
            <w:r>
              <w:t>18.16%</w:t>
            </w:r>
          </w:p>
        </w:tc>
        <w:tc>
          <w:tcPr>
            <w:tcW w:w="2160" w:type="dxa"/>
          </w:tcPr>
          <w:p w14:paraId="1211EB5E" w14:textId="4C23D027" w:rsidR="00255C9B" w:rsidRDefault="00255C9B">
            <w:r>
              <w:t>1.950</w:t>
            </w:r>
          </w:p>
        </w:tc>
      </w:tr>
      <w:tr w:rsidR="00255C9B" w14:paraId="4CDAC572" w14:textId="77777777" w:rsidTr="00255C9B">
        <w:tc>
          <w:tcPr>
            <w:tcW w:w="2160" w:type="dxa"/>
          </w:tcPr>
          <w:p w14:paraId="2D7A1178" w14:textId="14F54CF3" w:rsidR="00255C9B" w:rsidRDefault="00255C9B">
            <w:r>
              <w:t>Tangent Portfolio</w:t>
            </w:r>
          </w:p>
        </w:tc>
        <w:tc>
          <w:tcPr>
            <w:tcW w:w="2160" w:type="dxa"/>
          </w:tcPr>
          <w:p w14:paraId="3EFD0488" w14:textId="2195C585" w:rsidR="00255C9B" w:rsidRDefault="00255C9B">
            <w:r>
              <w:t>62.70%</w:t>
            </w:r>
          </w:p>
        </w:tc>
        <w:tc>
          <w:tcPr>
            <w:tcW w:w="2160" w:type="dxa"/>
          </w:tcPr>
          <w:p w14:paraId="0BA3AA61" w14:textId="09C73E7C" w:rsidR="00255C9B" w:rsidRDefault="00255C9B">
            <w:r>
              <w:t>25.71%</w:t>
            </w:r>
          </w:p>
        </w:tc>
        <w:tc>
          <w:tcPr>
            <w:tcW w:w="2160" w:type="dxa"/>
          </w:tcPr>
          <w:p w14:paraId="20CBFDF8" w14:textId="3BB4D33E" w:rsidR="00255C9B" w:rsidRDefault="00255C9B">
            <w:r>
              <w:t>2.341</w:t>
            </w:r>
          </w:p>
        </w:tc>
      </w:tr>
    </w:tbl>
    <w:p w14:paraId="62BABEC1" w14:textId="77777777" w:rsidR="00255C9B" w:rsidRDefault="00255C9B"/>
    <w:p w14:paraId="77F5B8B1" w14:textId="245B6EEA" w:rsidR="005B76A0" w:rsidRDefault="00000000">
      <w:r>
        <w:t>The tangent portfolio achieved a higher expected return and Sharpe ratio, demonstrating superior risk-adjusted performance relative to the equal-weight baseline. The tangent weights (subject to 30% per-asset cap) are as follows:</w:t>
      </w:r>
    </w:p>
    <w:tbl>
      <w:tblPr>
        <w:tblW w:w="0" w:type="auto"/>
        <w:tblBorders>
          <w:top w:val="single" w:sz="12" w:space="0" w:color="4F81BD" w:themeColor="accent1"/>
          <w:left w:val="single" w:sz="12" w:space="0" w:color="4F81BD" w:themeColor="accent1"/>
          <w:bottom w:val="single" w:sz="12" w:space="0" w:color="4F81BD" w:themeColor="accent1"/>
          <w:right w:val="single" w:sz="12" w:space="0" w:color="4F81BD" w:themeColor="accent1"/>
          <w:insideH w:val="single" w:sz="12" w:space="0" w:color="4F81BD" w:themeColor="accent1"/>
          <w:insideV w:val="single" w:sz="12" w:space="0" w:color="4F81BD" w:themeColor="accent1"/>
        </w:tblBorders>
        <w:tblLook w:val="04A0" w:firstRow="1" w:lastRow="0" w:firstColumn="1" w:lastColumn="0" w:noHBand="0" w:noVBand="1"/>
      </w:tblPr>
      <w:tblGrid>
        <w:gridCol w:w="2880"/>
        <w:gridCol w:w="2880"/>
      </w:tblGrid>
      <w:tr w:rsidR="00255C9B" w14:paraId="4B8E05BF" w14:textId="05A21F9C" w:rsidTr="00BE3150">
        <w:tc>
          <w:tcPr>
            <w:tcW w:w="2880" w:type="dxa"/>
          </w:tcPr>
          <w:p w14:paraId="3D10E0D4" w14:textId="77777777" w:rsidR="00255C9B" w:rsidRDefault="00255C9B" w:rsidP="00702637">
            <w:r>
              <w:t>AAPL</w:t>
            </w:r>
          </w:p>
        </w:tc>
        <w:tc>
          <w:tcPr>
            <w:tcW w:w="2880" w:type="dxa"/>
          </w:tcPr>
          <w:p w14:paraId="37A35D25" w14:textId="2CAADB60" w:rsidR="00255C9B" w:rsidRDefault="00255C9B" w:rsidP="00702637">
            <w:r>
              <w:t>0.00</w:t>
            </w:r>
          </w:p>
        </w:tc>
      </w:tr>
      <w:tr w:rsidR="00255C9B" w14:paraId="0B2C63C5" w14:textId="11391422" w:rsidTr="00BE3150">
        <w:tc>
          <w:tcPr>
            <w:tcW w:w="2880" w:type="dxa"/>
          </w:tcPr>
          <w:p w14:paraId="227F5D56" w14:textId="77777777" w:rsidR="00255C9B" w:rsidRDefault="00255C9B" w:rsidP="00702637">
            <w:r>
              <w:t>MSFT</w:t>
            </w:r>
          </w:p>
        </w:tc>
        <w:tc>
          <w:tcPr>
            <w:tcW w:w="2880" w:type="dxa"/>
          </w:tcPr>
          <w:p w14:paraId="55C61EF6" w14:textId="31AEAA99" w:rsidR="00255C9B" w:rsidRDefault="00255C9B" w:rsidP="00702637">
            <w:r>
              <w:t>0.00</w:t>
            </w:r>
          </w:p>
        </w:tc>
      </w:tr>
      <w:tr w:rsidR="00255C9B" w14:paraId="2378E271" w14:textId="2C9EAF91" w:rsidTr="00BE3150">
        <w:tc>
          <w:tcPr>
            <w:tcW w:w="2880" w:type="dxa"/>
          </w:tcPr>
          <w:p w14:paraId="40FC2088" w14:textId="77777777" w:rsidR="00255C9B" w:rsidRDefault="00255C9B" w:rsidP="00702637">
            <w:r>
              <w:t>GOOG</w:t>
            </w:r>
          </w:p>
        </w:tc>
        <w:tc>
          <w:tcPr>
            <w:tcW w:w="2880" w:type="dxa"/>
          </w:tcPr>
          <w:p w14:paraId="5EC20C3D" w14:textId="27D0B48E" w:rsidR="00255C9B" w:rsidRDefault="00255C9B" w:rsidP="00702637">
            <w:r>
              <w:t>0.147</w:t>
            </w:r>
          </w:p>
        </w:tc>
      </w:tr>
      <w:tr w:rsidR="00255C9B" w14:paraId="12FEE9D8" w14:textId="555C73B3" w:rsidTr="00BE3150">
        <w:tc>
          <w:tcPr>
            <w:tcW w:w="2880" w:type="dxa"/>
          </w:tcPr>
          <w:p w14:paraId="6F93C524" w14:textId="77777777" w:rsidR="00255C9B" w:rsidRDefault="00255C9B" w:rsidP="00702637">
            <w:r>
              <w:t>AMZN</w:t>
            </w:r>
          </w:p>
        </w:tc>
        <w:tc>
          <w:tcPr>
            <w:tcW w:w="2880" w:type="dxa"/>
          </w:tcPr>
          <w:p w14:paraId="56CF7750" w14:textId="33A8D8D9" w:rsidR="00255C9B" w:rsidRDefault="00255C9B" w:rsidP="00702637">
            <w:r>
              <w:t>0.30</w:t>
            </w:r>
          </w:p>
        </w:tc>
      </w:tr>
      <w:tr w:rsidR="00255C9B" w14:paraId="21E9496E" w14:textId="7021175E" w:rsidTr="00BE3150">
        <w:tc>
          <w:tcPr>
            <w:tcW w:w="2880" w:type="dxa"/>
          </w:tcPr>
          <w:p w14:paraId="585DCF5F" w14:textId="77777777" w:rsidR="00255C9B" w:rsidRDefault="00255C9B" w:rsidP="00702637">
            <w:r>
              <w:t>NVDA</w:t>
            </w:r>
          </w:p>
        </w:tc>
        <w:tc>
          <w:tcPr>
            <w:tcW w:w="2880" w:type="dxa"/>
          </w:tcPr>
          <w:p w14:paraId="408A7326" w14:textId="190A6AFA" w:rsidR="00255C9B" w:rsidRDefault="00255C9B" w:rsidP="00702637">
            <w:r>
              <w:t>0.187</w:t>
            </w:r>
          </w:p>
        </w:tc>
      </w:tr>
      <w:tr w:rsidR="00255C9B" w14:paraId="1B93006E" w14:textId="1A705857" w:rsidTr="00BE3150">
        <w:tc>
          <w:tcPr>
            <w:tcW w:w="2880" w:type="dxa"/>
          </w:tcPr>
          <w:p w14:paraId="0DB2B33E" w14:textId="77777777" w:rsidR="00255C9B" w:rsidRDefault="00255C9B" w:rsidP="00702637">
            <w:r>
              <w:t>JPM</w:t>
            </w:r>
          </w:p>
        </w:tc>
        <w:tc>
          <w:tcPr>
            <w:tcW w:w="2880" w:type="dxa"/>
          </w:tcPr>
          <w:p w14:paraId="62F9CBC8" w14:textId="3E4FAC73" w:rsidR="00255C9B" w:rsidRDefault="00255C9B" w:rsidP="00702637">
            <w:r>
              <w:t>0.00</w:t>
            </w:r>
          </w:p>
        </w:tc>
      </w:tr>
      <w:tr w:rsidR="00255C9B" w14:paraId="7B2D3E8A" w14:textId="240BB11E" w:rsidTr="00BE3150">
        <w:tc>
          <w:tcPr>
            <w:tcW w:w="2880" w:type="dxa"/>
          </w:tcPr>
          <w:p w14:paraId="71844A8F" w14:textId="77777777" w:rsidR="00255C9B" w:rsidRDefault="00255C9B" w:rsidP="00702637">
            <w:r>
              <w:t>V</w:t>
            </w:r>
          </w:p>
        </w:tc>
        <w:tc>
          <w:tcPr>
            <w:tcW w:w="2880" w:type="dxa"/>
          </w:tcPr>
          <w:p w14:paraId="6F96903B" w14:textId="6FCB68B5" w:rsidR="00255C9B" w:rsidRDefault="00255C9B" w:rsidP="00702637">
            <w:r>
              <w:t>0.30</w:t>
            </w:r>
          </w:p>
        </w:tc>
      </w:tr>
      <w:tr w:rsidR="00255C9B" w14:paraId="560B1243" w14:textId="7E281A72" w:rsidTr="00BE3150">
        <w:tc>
          <w:tcPr>
            <w:tcW w:w="2880" w:type="dxa"/>
          </w:tcPr>
          <w:p w14:paraId="11C5383C" w14:textId="77777777" w:rsidR="00255C9B" w:rsidRDefault="00255C9B" w:rsidP="00702637">
            <w:r>
              <w:t>XOM</w:t>
            </w:r>
          </w:p>
        </w:tc>
        <w:tc>
          <w:tcPr>
            <w:tcW w:w="2880" w:type="dxa"/>
          </w:tcPr>
          <w:p w14:paraId="638B80B9" w14:textId="635D52CE" w:rsidR="00255C9B" w:rsidRDefault="00255C9B" w:rsidP="00702637">
            <w:r>
              <w:t>0.00</w:t>
            </w:r>
          </w:p>
        </w:tc>
      </w:tr>
      <w:tr w:rsidR="00255C9B" w14:paraId="049325B8" w14:textId="79D6160A" w:rsidTr="00BE3150">
        <w:tc>
          <w:tcPr>
            <w:tcW w:w="2880" w:type="dxa"/>
          </w:tcPr>
          <w:p w14:paraId="01C88496" w14:textId="77777777" w:rsidR="00255C9B" w:rsidRDefault="00255C9B" w:rsidP="00702637">
            <w:r>
              <w:t>UNH</w:t>
            </w:r>
          </w:p>
        </w:tc>
        <w:tc>
          <w:tcPr>
            <w:tcW w:w="2880" w:type="dxa"/>
          </w:tcPr>
          <w:p w14:paraId="25187FDC" w14:textId="2EAAD1B6" w:rsidR="00255C9B" w:rsidRDefault="00255C9B" w:rsidP="00702637">
            <w:r>
              <w:t>0.047</w:t>
            </w:r>
          </w:p>
        </w:tc>
      </w:tr>
      <w:tr w:rsidR="00255C9B" w14:paraId="47371620" w14:textId="37EDE8EC" w:rsidTr="00BE3150">
        <w:tc>
          <w:tcPr>
            <w:tcW w:w="2880" w:type="dxa"/>
          </w:tcPr>
          <w:p w14:paraId="1C1AB24E" w14:textId="77777777" w:rsidR="00255C9B" w:rsidRDefault="00255C9B" w:rsidP="00702637">
            <w:r>
              <w:t>META</w:t>
            </w:r>
          </w:p>
        </w:tc>
        <w:tc>
          <w:tcPr>
            <w:tcW w:w="2880" w:type="dxa"/>
          </w:tcPr>
          <w:p w14:paraId="3D0D82F2" w14:textId="66E96F30" w:rsidR="00255C9B" w:rsidRDefault="00255C9B" w:rsidP="00702637">
            <w:r>
              <w:t>0.018</w:t>
            </w:r>
          </w:p>
        </w:tc>
      </w:tr>
    </w:tbl>
    <w:p w14:paraId="4F2E44C4" w14:textId="77777777" w:rsidR="00255C9B" w:rsidRDefault="00255C9B"/>
    <w:p w14:paraId="340ED01A" w14:textId="77777777" w:rsidR="005B76A0" w:rsidRDefault="00000000">
      <w:pPr>
        <w:pStyle w:val="Heading1"/>
      </w:pPr>
      <w:r>
        <w:lastRenderedPageBreak/>
        <w:t>6. Interpretation and Discussion</w:t>
      </w:r>
    </w:p>
    <w:p w14:paraId="37523D3A" w14:textId="77777777" w:rsidR="005B76A0" w:rsidRDefault="00000000">
      <w:r>
        <w:t>The efficient frontier illustrates the tradeoff between expected return and portfolio risk. Constrained optimization led to a frontier where diversification reduces overall variance while maintaining return potential. The tangent portfolio, representing the maximum Sharpe point, indicates an optimal mix of high-performing technology and consumer stocks, balanced with financial and healthcare exposure to reduce volatility.</w:t>
      </w:r>
    </w:p>
    <w:p w14:paraId="6903B45B" w14:textId="77777777" w:rsidR="005B76A0" w:rsidRDefault="00000000">
      <w:pPr>
        <w:pStyle w:val="Heading1"/>
      </w:pPr>
      <w:r>
        <w:t>7. Conclusion</w:t>
      </w:r>
    </w:p>
    <w:p w14:paraId="4E2B028A" w14:textId="77777777" w:rsidR="005B76A0" w:rsidRDefault="00000000">
      <w:r>
        <w:t>This Markowitz analysis demonstrates how mean–variance optimization can be implemented using real financial data. By constraining weights and optimizing for the Sharpe ratio, the analysis identifies a practical portfolio configuration that aligns with real-world investment constraints while achieving an attractive risk-return balance.</w:t>
      </w:r>
    </w:p>
    <w:sectPr w:rsidR="005B76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5168674">
    <w:abstractNumId w:val="8"/>
  </w:num>
  <w:num w:numId="2" w16cid:durableId="186142651">
    <w:abstractNumId w:val="6"/>
  </w:num>
  <w:num w:numId="3" w16cid:durableId="127474716">
    <w:abstractNumId w:val="5"/>
  </w:num>
  <w:num w:numId="4" w16cid:durableId="179121495">
    <w:abstractNumId w:val="4"/>
  </w:num>
  <w:num w:numId="5" w16cid:durableId="2064326454">
    <w:abstractNumId w:val="7"/>
  </w:num>
  <w:num w:numId="6" w16cid:durableId="1490561206">
    <w:abstractNumId w:val="3"/>
  </w:num>
  <w:num w:numId="7" w16cid:durableId="2097245476">
    <w:abstractNumId w:val="2"/>
  </w:num>
  <w:num w:numId="8" w16cid:durableId="912155629">
    <w:abstractNumId w:val="1"/>
  </w:num>
  <w:num w:numId="9" w16cid:durableId="675231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5C9B"/>
    <w:rsid w:val="0029639D"/>
    <w:rsid w:val="00326F90"/>
    <w:rsid w:val="00341015"/>
    <w:rsid w:val="005B76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A0E422"/>
  <w14:defaultImageDpi w14:val="300"/>
  <w15:docId w15:val="{2EC435E9-13B4-3C4C-B9F9-123F3103F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Railton</cp:lastModifiedBy>
  <cp:revision>2</cp:revision>
  <dcterms:created xsi:type="dcterms:W3CDTF">2025-11-08T00:48:00Z</dcterms:created>
  <dcterms:modified xsi:type="dcterms:W3CDTF">2025-11-08T00:48:00Z</dcterms:modified>
  <cp:category/>
</cp:coreProperties>
</file>