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pacing w:before="0" w:after="24" w:line="370" w:lineRule="exact"/>
        <w:jc w:val="center"/>
      </w:pPr>
      <w:r>
        <w:rPr>
          <w:b/>
          <w:sz w:val="34"/>
        </w:rPr>
        <w:t>LEESHARAM (ALEX) RAJCOOMAR</w:t>
      </w:r>
    </w:p>
    <w:p>
      <w:pPr>
        <w:widowControl w:val="0"/>
        <w:spacing w:before="0" w:after="10" w:line="220" w:lineRule="exact"/>
        <w:jc w:val="center"/>
      </w:pPr>
      <w:r>
        <w:rPr>
          <w:sz w:val="19"/>
        </w:rPr>
        <w:t>Brampton, ON | (647) 471-3023 | a2rajcoo@uwaterloo.ca | linkedin.com/in/leesharam-rajcoomar | alexrajcoomar.github.io</w:t>
      </w:r>
    </w:p>
    <w:p>
      <w:pPr>
        <w:widowControl w:val="0"/>
        <w:spacing w:before="0" w:after="40" w:line="224" w:lineRule="exact"/>
        <w:jc w:val="center"/>
      </w:pPr>
      <w:r>
        <w:rPr>
          <w:i/>
          <w:sz w:val="19"/>
        </w:rPr>
        <w:t>Available for a January to April 2027 co-op work term</w:t>
      </w:r>
    </w:p>
    <w:p>
      <w:pPr>
        <w:widowControl w:val="0"/>
        <w:spacing w:before="60" w:after="40" w:line="230" w:lineRule="exact"/>
        <w:pBdr>
          <w:bottom w:val="single" w:sz="7" w:space="1" w:color="000000"/>
        </w:pBdr>
      </w:pPr>
      <w:r>
        <w:rPr>
          <w:b/>
          <w:sz w:val="20"/>
        </w:rPr>
        <w:t>EDUCATION</w:t>
      </w:r>
    </w:p>
    <w:p>
      <w:pPr>
        <w:widowControl w:val="0"/>
        <w:tabs>
          <w:tab w:pos="10656" w:val="right"/>
        </w:tabs>
        <w:spacing w:before="0" w:after="12" w:line="222" w:lineRule="exact"/>
      </w:pPr>
      <w:r>
        <w:rPr>
          <w:b/>
          <w:i w:val="0"/>
        </w:rPr>
        <w:t>University of Waterloo, School of Accounting and Finance</w:t>
      </w:r>
      <w:r>
        <w:tab/>
        <w:t>Waterloo, ON</w:t>
      </w:r>
    </w:p>
    <w:p>
      <w:pPr>
        <w:widowControl w:val="0"/>
        <w:tabs>
          <w:tab w:pos="10656" w:val="right"/>
        </w:tabs>
        <w:spacing w:before="0" w:after="12" w:line="222" w:lineRule="exact"/>
      </w:pPr>
      <w:r>
        <w:rPr>
          <w:b w:val="0"/>
          <w:i/>
        </w:rPr>
        <w:t>Bachelor of Accounting and Financial Management (Honours, Co-op), Analytics stream</w:t>
      </w:r>
      <w:r>
        <w:tab/>
        <w:t>Sep 2024 to Apr 2029 (expected)</w:t>
      </w:r>
    </w:p>
    <w:p>
      <w:pPr>
        <w:widowControl w:val="0"/>
        <w:tabs>
          <w:tab w:pos="230" w:val="left"/>
        </w:tabs>
        <w:spacing w:before="0" w:after="23" w:line="222" w:lineRule="exact"/>
        <w:ind w:left="230" w:hanging="230"/>
      </w:pPr>
      <w:r>
        <w:t>•</w:t>
        <w:tab/>
      </w:r>
      <w:r>
        <w:rPr>
          <w:b w:val="0"/>
          <w:i w:val="0"/>
        </w:rPr>
        <w:t>Merit Scholarship</w:t>
      </w:r>
    </w:p>
    <w:p>
      <w:pPr>
        <w:widowControl w:val="0"/>
        <w:tabs>
          <w:tab w:pos="230" w:val="left"/>
        </w:tabs>
        <w:spacing w:before="0" w:after="23" w:line="222" w:lineRule="exact"/>
        <w:ind w:left="230" w:hanging="230"/>
      </w:pPr>
      <w:r>
        <w:t>•</w:t>
        <w:tab/>
      </w:r>
      <w:r>
        <w:rPr>
          <w:b/>
          <w:i w:val="0"/>
        </w:rPr>
        <w:t>In progress, Fall 2026:</w:t>
      </w:r>
      <w:r>
        <w:rPr>
          <w:b w:val="0"/>
          <w:i w:val="0"/>
        </w:rPr>
        <w:t xml:space="preserve"> Intermediate Financial Accounting 1; Accounting Information Systems; Personal Financial Planning and Taxation; Cost Management Systems</w:t>
      </w:r>
    </w:p>
    <w:p>
      <w:pPr>
        <w:widowControl w:val="0"/>
        <w:tabs>
          <w:tab w:pos="230" w:val="left"/>
        </w:tabs>
        <w:spacing w:before="0" w:after="23" w:line="222" w:lineRule="exact"/>
        <w:ind w:left="230" w:hanging="230"/>
      </w:pPr>
      <w:r>
        <w:t>•</w:t>
        <w:tab/>
      </w:r>
      <w:r>
        <w:rPr>
          <w:b/>
          <w:i w:val="0"/>
        </w:rPr>
        <w:t>Completed:</w:t>
      </w:r>
      <w:r>
        <w:rPr>
          <w:b w:val="0"/>
          <w:i w:val="0"/>
        </w:rPr>
        <w:t xml:space="preserve"> Introduction to Assurance; Introduction to Tax; Introduction to Performance Analytics (Tableau); Analytic Methods for Business 1 to 3; Introduction to Computer Science</w:t>
      </w:r>
    </w:p>
    <w:p>
      <w:pPr>
        <w:widowControl w:val="0"/>
        <w:tabs>
          <w:tab w:pos="230" w:val="left"/>
        </w:tabs>
        <w:spacing w:before="0" w:after="23" w:line="222" w:lineRule="exact"/>
        <w:ind w:left="230" w:hanging="230"/>
      </w:pPr>
      <w:r>
        <w:t>•</w:t>
        <w:tab/>
      </w:r>
      <w:r>
        <w:rPr>
          <w:b w:val="0"/>
          <w:i w:val="0"/>
        </w:rPr>
        <w:t>DECA Finance, provincial competitor (2022 to 2024); UWNRG Nanorobotics Group, Business Associate (Winter 2025)</w:t>
      </w:r>
    </w:p>
    <w:p>
      <w:pPr>
        <w:widowControl w:val="0"/>
        <w:spacing w:before="104" w:after="40" w:line="230" w:lineRule="exact"/>
        <w:pBdr>
          <w:bottom w:val="single" w:sz="7" w:space="1" w:color="000000"/>
        </w:pBdr>
      </w:pPr>
      <w:r>
        <w:rPr>
          <w:b/>
          <w:sz w:val="20"/>
        </w:rPr>
        <w:t>EXPERIENCE</w:t>
      </w:r>
    </w:p>
    <w:p>
      <w:pPr>
        <w:widowControl w:val="0"/>
        <w:tabs>
          <w:tab w:pos="10656" w:val="right"/>
        </w:tabs>
        <w:spacing w:before="0" w:after="12" w:line="222" w:lineRule="exact"/>
      </w:pPr>
      <w:r>
        <w:rPr>
          <w:b/>
          <w:i w:val="0"/>
        </w:rPr>
        <w:t>Taxwide Inc.</w:t>
      </w:r>
      <w:r>
        <w:tab/>
        <w:t>Mississauga, ON</w:t>
      </w:r>
    </w:p>
    <w:p>
      <w:pPr>
        <w:widowControl w:val="0"/>
        <w:tabs>
          <w:tab w:pos="10656" w:val="right"/>
        </w:tabs>
        <w:spacing w:before="0" w:after="12" w:line="222" w:lineRule="exact"/>
      </w:pPr>
      <w:r>
        <w:rPr>
          <w:b w:val="0"/>
          <w:i/>
        </w:rPr>
        <w:t>Tax Associate (Co-op)</w:t>
      </w:r>
      <w:r>
        <w:tab/>
        <w:t>Jan 2026 to Apr 2026</w:t>
      </w:r>
    </w:p>
    <w:p>
      <w:pPr>
        <w:widowControl w:val="0"/>
        <w:tabs>
          <w:tab w:pos="230" w:val="left"/>
        </w:tabs>
        <w:spacing w:before="0" w:after="23" w:line="222" w:lineRule="exact"/>
        <w:ind w:left="230" w:hanging="230"/>
      </w:pPr>
      <w:r>
        <w:t>•</w:t>
        <w:tab/>
      </w:r>
      <w:r>
        <w:rPr>
          <w:b w:val="0"/>
          <w:i w:val="0"/>
        </w:rPr>
        <w:t>Prepared 200+ T1 personal returns in DT Max across the 2026 filing season, assembling each file from client documentation and CRA Auto-fill my return downloads covering T4, T5, T3 and RRSP contribution slips</w:t>
      </w:r>
    </w:p>
    <w:p>
      <w:pPr>
        <w:widowControl w:val="0"/>
        <w:tabs>
          <w:tab w:pos="230" w:val="left"/>
        </w:tabs>
        <w:spacing w:before="0" w:after="23" w:line="222" w:lineRule="exact"/>
        <w:ind w:left="230" w:hanging="230"/>
      </w:pPr>
      <w:r>
        <w:t>•</w:t>
        <w:tab/>
      </w:r>
      <w:r>
        <w:rPr>
          <w:b w:val="0"/>
          <w:i w:val="0"/>
        </w:rPr>
        <w:t>Performed the review step on every file before release for signature, agreeing reported amounts to source slips and clearing the exceptions that fell out: unreported slips, spouse or common-law partner amount claims dependent on a spouse's net income, and amounts transferred under Schedule 2</w:t>
      </w:r>
    </w:p>
    <w:p>
      <w:pPr>
        <w:widowControl w:val="0"/>
        <w:tabs>
          <w:tab w:pos="230" w:val="left"/>
        </w:tabs>
        <w:spacing w:before="0" w:after="23" w:line="222" w:lineRule="exact"/>
        <w:ind w:left="230" w:hanging="230"/>
      </w:pPr>
      <w:r>
        <w:t>•</w:t>
        <w:tab/>
      </w:r>
      <w:r>
        <w:rPr>
          <w:b w:val="0"/>
          <w:i w:val="0"/>
        </w:rPr>
        <w:t>Documented balance-owing and instalment conclusions against CRA administrative positions so a reviewer could retrace how each figure was reached, and carried the file record through a 200+ file season without loss of trail</w:t>
      </w:r>
    </w:p>
    <w:p>
      <w:pPr>
        <w:widowControl w:val="0"/>
        <w:tabs>
          <w:tab w:pos="230" w:val="left"/>
        </w:tabs>
        <w:spacing w:before="0" w:after="23" w:line="222" w:lineRule="exact"/>
        <w:ind w:left="230" w:hanging="230"/>
      </w:pPr>
      <w:r>
        <w:t>•</w:t>
        <w:tab/>
      </w:r>
      <w:r>
        <w:rPr>
          <w:b w:val="0"/>
          <w:i w:val="0"/>
        </w:rPr>
        <w:t>Ran client intake and season correspondence at peak volume, including Represent a Client authorization requests and follow-up on missing slips, so the evidence a file needed arrived before the review rather than after it</w:t>
      </w:r>
    </w:p>
    <w:p>
      <w:pPr>
        <w:widowControl w:val="0"/>
        <w:spacing w:before="104" w:after="40" w:line="230" w:lineRule="exact"/>
        <w:pBdr>
          <w:bottom w:val="single" w:sz="7" w:space="1" w:color="000000"/>
        </w:pBdr>
      </w:pPr>
      <w:r>
        <w:rPr>
          <w:b/>
          <w:sz w:val="20"/>
        </w:rPr>
        <w:t>INDEPENDENT RESEARCH</w:t>
      </w:r>
    </w:p>
    <w:p>
      <w:pPr>
        <w:widowControl w:val="0"/>
        <w:tabs>
          <w:tab w:pos="10656" w:val="right"/>
        </w:tabs>
        <w:spacing w:before="0" w:after="12" w:line="222" w:lineRule="exact"/>
      </w:pPr>
      <w:r>
        <w:rPr>
          <w:b/>
          <w:i w:val="0"/>
        </w:rPr>
        <w:t>alexrajcoomar.github.io</w:t>
      </w:r>
    </w:p>
    <w:p>
      <w:pPr>
        <w:widowControl w:val="0"/>
        <w:tabs>
          <w:tab w:pos="10656" w:val="right"/>
        </w:tabs>
        <w:spacing w:before="0" w:after="12" w:line="222" w:lineRule="exact"/>
      </w:pPr>
      <w:r>
        <w:rPr>
          <w:b w:val="0"/>
          <w:i/>
        </w:rPr>
        <w:t>Author and publisher, independent research in forensic accounting, financial reporting and evidence method</w:t>
      </w:r>
      <w:r>
        <w:tab/>
        <w:t>2026 to Present</w:t>
      </w:r>
    </w:p>
    <w:p>
      <w:pPr>
        <w:widowControl w:val="0"/>
        <w:tabs>
          <w:tab w:pos="230" w:val="left"/>
        </w:tabs>
        <w:spacing w:before="0" w:after="23" w:line="222" w:lineRule="exact"/>
        <w:ind w:left="230" w:hanging="230"/>
      </w:pPr>
      <w:r>
        <w:t>•</w:t>
        <w:tab/>
      </w:r>
      <w:r>
        <w:rPr>
          <w:b/>
          <w:i/>
        </w:rPr>
        <w:t>Flagged in Hindsight:</w:t>
      </w:r>
      <w:r>
        <w:rPr>
          <w:b w:val="0"/>
          <w:i w:val="0"/>
        </w:rPr>
        <w:t xml:space="preserve"> ran the </w:t>
      </w:r>
      <w:r>
        <w:rPr>
          <w:b/>
          <w:i w:val="0"/>
        </w:rPr>
        <w:t>Beneish M-Score</w:t>
      </w:r>
      <w:r>
        <w:rPr>
          <w:b w:val="0"/>
          <w:i w:val="0"/>
        </w:rPr>
        <w:t xml:space="preserve"> ex ante on five Canadian frauds with completed regulatory or judicial findings (Sino-Forest, Nortel, Poseidon Concepts, Livent, Philip Services), on only the filings that existed before each collapse. None of the three computable test years crossed the standard -1.78 cut-off. The piece types every miss by cause, threshold, mechanism, model scope or archive failure, and publishes the script and filed inputs so the scores can be reproduced</w:t>
      </w:r>
    </w:p>
    <w:p>
      <w:pPr>
        <w:widowControl w:val="0"/>
        <w:tabs>
          <w:tab w:pos="230" w:val="left"/>
        </w:tabs>
        <w:spacing w:before="0" w:after="23" w:line="222" w:lineRule="exact"/>
        <w:ind w:left="230" w:hanging="230"/>
      </w:pPr>
      <w:r>
        <w:t>•</w:t>
        <w:tab/>
      </w:r>
      <w:r>
        <w:rPr>
          <w:b/>
          <w:i/>
        </w:rPr>
        <w:t>IFRS 15 Judgment Trainer:</w:t>
      </w:r>
      <w:r>
        <w:rPr>
          <w:b w:val="0"/>
          <w:i w:val="0"/>
        </w:rPr>
        <w:t xml:space="preserve"> wrote and verified </w:t>
      </w:r>
      <w:r>
        <w:rPr>
          <w:b/>
          <w:i w:val="0"/>
        </w:rPr>
        <w:t>62 revenue recognition scenarios</w:t>
      </w:r>
      <w:r>
        <w:rPr>
          <w:b w:val="0"/>
          <w:i w:val="0"/>
        </w:rPr>
        <w:t xml:space="preserve"> across the five steps plus contract costs and disclosure, separating 29 determinate items from 33 that turn on judgment the standard leaves open, and scoring the second group on reasoning rather than answer. Every item cites its paragraph or illustrative example, verified against IFRS 15 in Part I of the CPA Canada Handbook, 2026 Edition, with 20 sources registered and none written from memory</w:t>
      </w:r>
    </w:p>
    <w:p>
      <w:pPr>
        <w:widowControl w:val="0"/>
        <w:tabs>
          <w:tab w:pos="230" w:val="left"/>
        </w:tabs>
        <w:spacing w:before="0" w:after="23" w:line="222" w:lineRule="exact"/>
        <w:ind w:left="230" w:hanging="230"/>
      </w:pPr>
      <w:r>
        <w:t>•</w:t>
        <w:tab/>
      </w:r>
      <w:r>
        <w:rPr>
          <w:b w:val="0"/>
          <w:i w:val="0"/>
        </w:rPr>
        <w:t xml:space="preserve">Publish </w:t>
      </w:r>
      <w:r>
        <w:rPr>
          <w:b/>
          <w:i w:val="0"/>
        </w:rPr>
        <w:t>67 pieces, 25 of them independent research</w:t>
      </w:r>
      <w:r>
        <w:rPr>
          <w:b w:val="0"/>
          <w:i w:val="0"/>
        </w:rPr>
        <w:t>, carrying 188 figures and 7 interactive tools. The build runs a register of automated checks on every commit and refuses to publish if a stated number does not match the data behind it</w:t>
      </w:r>
    </w:p>
    <w:p>
      <w:pPr>
        <w:widowControl w:val="0"/>
        <w:tabs>
          <w:tab w:pos="230" w:val="left"/>
        </w:tabs>
        <w:spacing w:before="0" w:after="23" w:line="222" w:lineRule="exact"/>
        <w:ind w:left="230" w:hanging="230"/>
      </w:pPr>
      <w:r>
        <w:t>•</w:t>
        <w:tab/>
      </w:r>
      <w:r>
        <w:rPr>
          <w:b/>
          <w:i/>
        </w:rPr>
        <w:t>Crucible Cockpit:</w:t>
      </w:r>
      <w:r>
        <w:rPr>
          <w:b w:val="0"/>
          <w:i w:val="0"/>
        </w:rPr>
        <w:t xml:space="preserve"> built an adversarial claim-auditing method that decomposes a question into individually falsifiable claims, files a falsifier and an evidence tier with each, and attacks them on provenance, inference, selection and anachronism</w:t>
      </w:r>
    </w:p>
    <w:p>
      <w:pPr>
        <w:widowControl w:val="0"/>
        <w:spacing w:before="104" w:after="40" w:line="230" w:lineRule="exact"/>
        <w:pBdr>
          <w:bottom w:val="single" w:sz="7" w:space="1" w:color="000000"/>
        </w:pBdr>
      </w:pPr>
      <w:r>
        <w:rPr>
          <w:b/>
          <w:sz w:val="20"/>
        </w:rPr>
        <w:t>PROJECTS AND COMPETITIONS</w:t>
      </w:r>
    </w:p>
    <w:p>
      <w:pPr>
        <w:widowControl w:val="0"/>
        <w:tabs>
          <w:tab w:pos="10656" w:val="right"/>
        </w:tabs>
        <w:spacing w:before="0" w:after="12" w:line="222" w:lineRule="exact"/>
      </w:pPr>
      <w:r>
        <w:rPr>
          <w:b/>
          <w:i w:val="0"/>
        </w:rPr>
        <w:t>Pet Valu Strategic Growth Case</w:t>
      </w:r>
      <w:r>
        <w:rPr>
          <w:b w:val="0"/>
          <w:i w:val="0"/>
        </w:rPr>
        <w:t>, team of four</w:t>
      </w:r>
      <w:r>
        <w:tab/>
        <w:t>2025</w:t>
      </w:r>
    </w:p>
    <w:p>
      <w:pPr>
        <w:widowControl w:val="0"/>
        <w:tabs>
          <w:tab w:pos="230" w:val="left"/>
        </w:tabs>
        <w:spacing w:before="0" w:after="23" w:line="222" w:lineRule="exact"/>
        <w:ind w:left="230" w:hanging="230"/>
      </w:pPr>
      <w:r>
        <w:t>•</w:t>
        <w:tab/>
      </w:r>
      <w:r>
        <w:rPr>
          <w:b w:val="0"/>
          <w:i w:val="0"/>
        </w:rPr>
        <w:t xml:space="preserve">Built three-year pro forma models for two capital deployment strategies behind a </w:t>
      </w:r>
      <w:r>
        <w:rPr>
          <w:b/>
          <w:i w:val="0"/>
        </w:rPr>
        <w:t>$575M</w:t>
      </w:r>
      <w:r>
        <w:rPr>
          <w:b w:val="0"/>
          <w:i w:val="0"/>
        </w:rPr>
        <w:t xml:space="preserve"> expansion decision, stress-testing ROA, debt to EBITDA and net profit margin, and recommended the conservative case to a simulated CEO and CFO panel on a sustained 16% ROA against a decline from 17% to 10%</w:t>
      </w:r>
    </w:p>
    <w:p>
      <w:pPr>
        <w:widowControl w:val="0"/>
        <w:tabs>
          <w:tab w:pos="10656" w:val="right"/>
        </w:tabs>
        <w:spacing w:before="56" w:after="12" w:line="222" w:lineRule="exact"/>
      </w:pPr>
      <w:r>
        <w:rPr>
          <w:b/>
          <w:i w:val="0"/>
        </w:rPr>
        <w:t>UW CISA Interactive Business Dashboard Competition</w:t>
      </w:r>
      <w:r>
        <w:rPr>
          <w:b w:val="0"/>
          <w:i w:val="0"/>
        </w:rPr>
        <w:t>, team of four</w:t>
      </w:r>
      <w:r>
        <w:tab/>
        <w:t>2024</w:t>
      </w:r>
    </w:p>
    <w:p>
      <w:pPr>
        <w:widowControl w:val="0"/>
        <w:tabs>
          <w:tab w:pos="230" w:val="left"/>
        </w:tabs>
        <w:spacing w:before="0" w:after="23" w:line="222" w:lineRule="exact"/>
        <w:ind w:left="230" w:hanging="230"/>
      </w:pPr>
      <w:r>
        <w:t>•</w:t>
        <w:tab/>
      </w:r>
      <w:r>
        <w:rPr>
          <w:b w:val="0"/>
          <w:i w:val="0"/>
        </w:rPr>
        <w:t xml:space="preserve">Built the competition dashboard in </w:t>
      </w:r>
      <w:r>
        <w:rPr>
          <w:b/>
          <w:i w:val="0"/>
        </w:rPr>
        <w:t>Tableau</w:t>
      </w:r>
      <w:r>
        <w:rPr>
          <w:b w:val="0"/>
          <w:i w:val="0"/>
        </w:rPr>
        <w:t xml:space="preserve"> and Excel from multi-variable performance datasets analysed in R, and presented the competitive gaps the data exposed as a short set of specific operating recommendations</w:t>
      </w:r>
    </w:p>
    <w:p>
      <w:pPr>
        <w:widowControl w:val="0"/>
        <w:spacing w:before="104" w:after="40" w:line="230" w:lineRule="exact"/>
        <w:pBdr>
          <w:bottom w:val="single" w:sz="7" w:space="1" w:color="000000"/>
        </w:pBdr>
      </w:pPr>
      <w:r>
        <w:rPr>
          <w:b/>
          <w:sz w:val="20"/>
        </w:rPr>
        <w:t>ADDITIONAL</w:t>
      </w:r>
    </w:p>
    <w:p>
      <w:pPr>
        <w:widowControl w:val="0"/>
        <w:tabs>
          <w:tab w:pos="230" w:val="left"/>
        </w:tabs>
        <w:spacing w:before="0" w:after="23" w:line="222" w:lineRule="exact"/>
        <w:ind w:left="230" w:hanging="230"/>
      </w:pPr>
      <w:r>
        <w:t>•</w:t>
        <w:tab/>
      </w:r>
      <w:r>
        <w:rPr>
          <w:b/>
          <w:i w:val="0"/>
        </w:rPr>
        <w:t>Assurance and forensic:</w:t>
      </w:r>
      <w:r>
        <w:rPr>
          <w:b w:val="0"/>
          <w:i w:val="0"/>
        </w:rPr>
        <w:t xml:space="preserve"> analytical procedures and ratio-based fraud screening; Beneish M-Score; evidence tiering and provenance discipline; CAS 240 fraud considerations</w:t>
      </w:r>
    </w:p>
    <w:p>
      <w:pPr>
        <w:widowControl w:val="0"/>
        <w:tabs>
          <w:tab w:pos="230" w:val="left"/>
        </w:tabs>
        <w:spacing w:before="0" w:after="23" w:line="222" w:lineRule="exact"/>
        <w:ind w:left="230" w:hanging="230"/>
      </w:pPr>
      <w:r>
        <w:t>•</w:t>
        <w:tab/>
      </w:r>
      <w:r>
        <w:rPr>
          <w:b/>
          <w:i w:val="0"/>
        </w:rPr>
        <w:t>Regulatory and reporting:</w:t>
      </w:r>
      <w:r>
        <w:rPr>
          <w:b w:val="0"/>
          <w:i w:val="0"/>
        </w:rPr>
        <w:t xml:space="preserve"> IFRS as adopted in Canada (Part I); ASPE (Part II); CSA continuous disclosure staff notices; securities enforcement decisions and court records; SEDAR+; Knotia</w:t>
      </w:r>
    </w:p>
    <w:p>
      <w:pPr>
        <w:widowControl w:val="0"/>
        <w:tabs>
          <w:tab w:pos="230" w:val="left"/>
        </w:tabs>
        <w:spacing w:before="0" w:after="23" w:line="222" w:lineRule="exact"/>
        <w:ind w:left="230" w:hanging="230"/>
      </w:pPr>
      <w:r>
        <w:t>•</w:t>
        <w:tab/>
      </w:r>
      <w:r>
        <w:rPr>
          <w:b/>
          <w:i w:val="0"/>
        </w:rPr>
        <w:t>Technical:</w:t>
      </w:r>
      <w:r>
        <w:rPr>
          <w:b w:val="0"/>
          <w:i w:val="0"/>
        </w:rPr>
        <w:t xml:space="preserve"> Python (14,719 lines published, standard library only); JavaScript; Excel; Tableau; R; Git and GitHub Actions; automated verification pipelines</w:t>
      </w:r>
    </w:p>
    <w:p>
      <w:pPr>
        <w:widowControl w:val="0"/>
        <w:tabs>
          <w:tab w:pos="230" w:val="left"/>
        </w:tabs>
        <w:spacing w:before="0" w:after="23" w:line="222" w:lineRule="exact"/>
        <w:ind w:left="230" w:hanging="230"/>
      </w:pPr>
      <w:r>
        <w:t>•</w:t>
        <w:tab/>
      </w:r>
      <w:r>
        <w:rPr>
          <w:b/>
          <w:i w:val="0"/>
        </w:rPr>
        <w:t>Volunteering:</w:t>
      </w:r>
      <w:r>
        <w:rPr>
          <w:b w:val="0"/>
          <w:i w:val="0"/>
        </w:rPr>
        <w:t xml:space="preserve"> Habitat for Humanity ReStore (Jul to Sep 2023): recorded sales and reconciled daily revenue</w:t>
      </w:r>
    </w:p>
    <w:p>
      <w:pPr>
        <w:widowControl w:val="0"/>
        <w:tabs>
          <w:tab w:pos="230" w:val="left"/>
        </w:tabs>
        <w:spacing w:before="0" w:after="23" w:line="222" w:lineRule="exact"/>
        <w:ind w:left="230" w:hanging="230"/>
      </w:pPr>
      <w:r>
        <w:t>•</w:t>
        <w:tab/>
      </w:r>
      <w:r>
        <w:rPr>
          <w:b/>
          <w:i w:val="0"/>
        </w:rPr>
        <w:t>Interests:</w:t>
      </w:r>
      <w:r>
        <w:rPr>
          <w:b w:val="0"/>
          <w:i w:val="0"/>
        </w:rPr>
        <w:t xml:space="preserve"> capital cycles; forecasting and calibration; the science of learning</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22" w:lineRule="exact" w:before="0" w:after="0"/>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