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linkedin.com/in/leesharam-rajcoomar-868144317 | alexrajcoomar.github.io</w:t>
      </w:r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Intermediate Financial Accounting 1; Personal Financial Planning and Taxation; Accounting Information Systems; Cost Management Systems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Tax; Introduction to Assurance; Introduction to Performance Analytics (Tableau); Analytic Methods for Business 1 to 3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Prepared 200+ T1 personal returns in DT Max across the 2026 filing season, assembling employment, investment and self-employment income from client documentation and CRA Auto-fill my return downloads covering T4, T5, T3 and RRSP slips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Reviewed each completed return against its source slips before release for signature, clearing variances in reported income, spouse or common-law partner amount claims that depend on a spouse's net income, and amounts transferred from a spouse under Schedule 2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Reconciled balances owing and instalment positions to CRA administrative positions, and prepared the written explanations clients received with their assessments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Ran client intake and season correspondence at peak volume, including Represent a Client authorization requests and follow-up on missing slips, and held the file record in order through a season carrying 200+ files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alexrajcoomar.github.io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Author and publisher, independent research in Canadian tax, financial reporting and forensic accounting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67 pieces, 25 of them independent research, carrying </w:t>
      </w:r>
      <w:r>
        <w:rPr>
          <w:b/>
          <w:i w:val="0"/>
        </w:rPr>
        <w:t>188 figures and 7 interactive tools</w:t>
      </w:r>
      <w:r>
        <w:rPr>
          <w:b w:val="0"/>
          <w:i w:val="0"/>
        </w:rPr>
        <w:t>. Every figure names its source, every derived number is labelled as derived, and the site refuses to build if a published number does not match the data it was computed from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no Canadian issuer publishes a UCC balance, so reconstructed Dollarama's across </w:t>
      </w:r>
      <w:r>
        <w:rPr>
          <w:b/>
          <w:i w:val="0"/>
        </w:rPr>
        <w:t>seven CCA classes</w:t>
      </w:r>
      <w:r>
        <w:rPr>
          <w:b w:val="0"/>
          <w:i w:val="0"/>
        </w:rPr>
        <w:t xml:space="preserve"> from its deferred tax disclosure and SEDAR+ filings, ran the allowance under the rates and first-year rules in force, and showed the statutory shield worth </w:t>
      </w:r>
      <w:r>
        <w:rPr>
          <w:b/>
          <w:i w:val="0"/>
        </w:rPr>
        <w:t>$1.78 to $2.27 per share</w:t>
      </w:r>
      <w:r>
        <w:rPr>
          <w:b w:val="0"/>
          <w:i w:val="0"/>
        </w:rPr>
        <w:t xml:space="preserve"> more than a book depreciation proxy. The reconstructed base reproduces the issuer's disclosed current tax expense for a year it was not fitted to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IFRS 15 Judgment Trainer:</w:t>
      </w:r>
      <w:r>
        <w:rPr>
          <w:b w:val="0"/>
          <w:i w:val="0"/>
        </w:rPr>
        <w:t xml:space="preserve"> wrote and verified </w:t>
      </w:r>
      <w:r>
        <w:rPr>
          <w:b/>
          <w:i w:val="0"/>
        </w:rPr>
        <w:t>62 revenue recognition scenarios</w:t>
      </w:r>
      <w:r>
        <w:rPr>
          <w:b w:val="0"/>
          <w:i w:val="0"/>
        </w:rPr>
        <w:t xml:space="preserve">, 29 determinate and 33 turning on judgment the standard leaves open, each answer tied to a paragraph or illustrative example and checked item by item against </w:t>
      </w:r>
      <w:r>
        <w:rPr>
          <w:b/>
          <w:i w:val="0"/>
        </w:rPr>
        <w:t>IFRS 15 in Part I of the CPA Canada Handbook, 2026 Edition</w:t>
      </w:r>
      <w:r>
        <w:rPr>
          <w:b w:val="0"/>
          <w:i w:val="0"/>
        </w:rPr>
        <w:t xml:space="preserve"> on Knotia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 and Excel</w:t>
      </w:r>
      <w:r>
        <w:rPr>
          <w:b w:val="0"/>
          <w:i w:val="0"/>
        </w:rPr>
        <w:t xml:space="preserve">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Tax and accounting systems:</w:t>
      </w:r>
      <w:r>
        <w:rPr>
          <w:b w:val="0"/>
          <w:i w:val="0"/>
        </w:rPr>
        <w:t xml:space="preserve"> DT Max; CRA Represent a Client; Auto-fill my return; T1 preparation and T-slip reconciliation; Knotia (CPA Canada Handbook); SEDAR+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Canadian technical:</w:t>
      </w:r>
      <w:r>
        <w:rPr>
          <w:b w:val="0"/>
          <w:i w:val="0"/>
        </w:rPr>
        <w:t xml:space="preserve"> Income Tax Act and Regulations; capital cost allowance and UCC roll-forwards; IFRS as adopted in Canada (Part I); ASPE (Part II)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Analytical:</w:t>
      </w:r>
      <w:r>
        <w:rPr>
          <w:b w:val="0"/>
          <w:i w:val="0"/>
        </w:rPr>
        <w:t xml:space="preserve"> Excel; Tableau; Python; R; three-statement and DCF modelling; scenario and sensitivity analysis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30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