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24" w:line="370" w:lineRule="exact"/>
        <w:jc w:val="center"/>
      </w:pPr>
      <w:r>
        <w:rPr>
          <w:b/>
          <w:sz w:val="34"/>
        </w:rPr>
        <w:t>LEESHARAM (ALEX) RAJCOOMAR</w:t>
      </w:r>
    </w:p>
    <w:p>
      <w:pPr>
        <w:widowControl w:val="0"/>
        <w:spacing w:before="0" w:after="10" w:line="220" w:lineRule="exact"/>
        <w:jc w:val="center"/>
      </w:pPr>
      <w:r>
        <w:rPr>
          <w:b w:val="0"/>
          <w:i w:val="0"/>
          <w:sz w:val="19"/>
        </w:rPr>
        <w:t xml:space="preserve">Brampton, ON | (647) 471-3023 | </w:t>
      </w:r>
      <w:hyperlink r:id="rId9">
        <w:r>
          <w:rPr>
            <w:b w:val="0"/>
            <w:i w:val="0"/>
            <w:sz w:val="19"/>
            <w:color w:val="1F4E79"/>
            <w:u w:val="single" w:color="1F4E79"/>
          </w:rPr>
          <w:t>a2rajcoo@uwaterloo.ca</w:t>
        </w:r>
      </w:hyperlink>
      <w:r>
        <w:rPr>
          <w:b w:val="0"/>
          <w:i w:val="0"/>
          <w:sz w:val="19"/>
        </w:rPr>
        <w:t xml:space="preserve"> | </w:t>
      </w:r>
      <w:hyperlink r:id="rId10">
        <w:r>
          <w:rPr>
            <w:b w:val="0"/>
            <w:i w:val="0"/>
            <w:sz w:val="19"/>
            <w:color w:val="1F4E79"/>
            <w:u w:val="single" w:color="1F4E79"/>
          </w:rPr>
          <w:t>linkedin.com/in/leesharam-rajcoomar</w:t>
        </w:r>
      </w:hyperlink>
      <w:r>
        <w:rPr>
          <w:b w:val="0"/>
          <w:i w:val="0"/>
          <w:sz w:val="19"/>
        </w:rPr>
        <w:t xml:space="preserve"> | </w:t>
      </w:r>
      <w:hyperlink r:id="rId11">
        <w:r>
          <w:rPr>
            <w:b w:val="0"/>
            <w:i w:val="0"/>
            <w:sz w:val="19"/>
            <w:color w:val="1F4E79"/>
            <w:u w:val="single" w:color="1F4E79"/>
          </w:rPr>
          <w:t>alexrajcoomar.github.io</w:t>
        </w:r>
      </w:hyperlink>
    </w:p>
    <w:p>
      <w:pPr>
        <w:widowControl w:val="0"/>
        <w:spacing w:before="0" w:after="40" w:line="224" w:lineRule="exact"/>
        <w:jc w:val="center"/>
      </w:pPr>
      <w:r>
        <w:rPr>
          <w:i/>
          <w:sz w:val="19"/>
        </w:rPr>
        <w:t>Available for a January to April 2027 co-op work term</w:t>
      </w:r>
    </w:p>
    <w:p>
      <w:pPr>
        <w:widowControl w:val="0"/>
        <w:spacing w:before="60" w:after="40" w:line="230" w:lineRule="exact"/>
        <w:pBdr>
          <w:bottom w:val="single" w:sz="7" w:space="1" w:color="000000"/>
        </w:pBdr>
      </w:pPr>
      <w:r>
        <w:rPr>
          <w:b/>
          <w:sz w:val="20"/>
        </w:rPr>
        <w:t>EDUCATION</w:t>
      </w:r>
    </w:p>
    <w:p>
      <w:pPr>
        <w:widowControl w:val="0"/>
        <w:tabs>
          <w:tab w:pos="10656" w:val="right"/>
        </w:tabs>
        <w:spacing w:before="0" w:after="12" w:line="230" w:lineRule="exact"/>
      </w:pPr>
      <w:r>
        <w:rPr>
          <w:b/>
          <w:i w:val="0"/>
        </w:rPr>
        <w:t>University of Waterloo, School of Accounting and Finance</w:t>
      </w:r>
      <w:r>
        <w:tab/>
        <w:t>Waterloo, ON</w:t>
      </w:r>
    </w:p>
    <w:p>
      <w:pPr>
        <w:widowControl w:val="0"/>
        <w:tabs>
          <w:tab w:pos="10656" w:val="right"/>
        </w:tabs>
        <w:spacing w:before="0" w:after="12" w:line="230" w:lineRule="exact"/>
      </w:pPr>
      <w:r>
        <w:rPr>
          <w:b w:val="0"/>
          <w:i/>
        </w:rPr>
        <w:t>Bachelor of Accounting and Financial Management (Honours, Co-op), Analytics stream</w:t>
      </w:r>
      <w:r>
        <w:tab/>
        <w:t>Sep 2024 to Apr 2029 (expected)</w:t>
      </w:r>
    </w:p>
    <w:p>
      <w:pPr>
        <w:widowControl w:val="0"/>
        <w:tabs>
          <w:tab w:pos="230" w:val="left"/>
        </w:tabs>
        <w:spacing w:before="0" w:after="23" w:line="230" w:lineRule="exact"/>
        <w:ind w:left="230" w:hanging="230"/>
      </w:pPr>
      <w:r>
        <w:t>•</w:t>
        <w:tab/>
      </w:r>
      <w:r>
        <w:rPr>
          <w:b w:val="0"/>
          <w:i w:val="0"/>
        </w:rPr>
        <w:t>Merit Scholarship</w:t>
      </w:r>
    </w:p>
    <w:p>
      <w:pPr>
        <w:widowControl w:val="0"/>
        <w:tabs>
          <w:tab w:pos="230" w:val="left"/>
        </w:tabs>
        <w:spacing w:before="0" w:after="23" w:line="230" w:lineRule="exact"/>
        <w:ind w:left="230" w:hanging="230"/>
      </w:pPr>
      <w:r>
        <w:t>•</w:t>
        <w:tab/>
      </w:r>
      <w:r>
        <w:rPr>
          <w:b/>
          <w:i w:val="0"/>
        </w:rPr>
        <w:t>In progress, Fall 2026:</w:t>
      </w:r>
      <w:r>
        <w:rPr>
          <w:b w:val="0"/>
          <w:i w:val="0"/>
        </w:rPr>
        <w:t xml:space="preserve"> Intermediate Financial Accounting 1; Personal Financial Planning and Taxation; Accounting Information Systems; Cost Management Systems</w:t>
      </w:r>
    </w:p>
    <w:p>
      <w:pPr>
        <w:widowControl w:val="0"/>
        <w:tabs>
          <w:tab w:pos="230" w:val="left"/>
        </w:tabs>
        <w:spacing w:before="0" w:after="23" w:line="230" w:lineRule="exact"/>
        <w:ind w:left="230" w:hanging="230"/>
      </w:pPr>
      <w:r>
        <w:t>•</w:t>
        <w:tab/>
      </w:r>
      <w:r>
        <w:rPr>
          <w:b/>
          <w:i w:val="0"/>
        </w:rPr>
        <w:t>Completed:</w:t>
      </w:r>
      <w:r>
        <w:rPr>
          <w:b w:val="0"/>
          <w:i w:val="0"/>
        </w:rPr>
        <w:t xml:space="preserve"> Introduction to Tax; Introduction to Assurance; Introduction to Performance Analytics (Tableau); Analytic Methods for Business 1 to 3</w:t>
      </w:r>
    </w:p>
    <w:p>
      <w:pPr>
        <w:widowControl w:val="0"/>
        <w:tabs>
          <w:tab w:pos="230" w:val="left"/>
        </w:tabs>
        <w:spacing w:before="0" w:after="23" w:line="230" w:lineRule="exact"/>
        <w:ind w:left="230" w:hanging="230"/>
      </w:pPr>
      <w:r>
        <w:t>•</w:t>
        <w:tab/>
      </w:r>
      <w:r>
        <w:rPr>
          <w:b w:val="0"/>
          <w:i w:val="0"/>
        </w:rPr>
        <w:t>DECA Finance, provincial competitor (2022 to 2024); UWNRG Nanorobotics Group, Business Associate (Winter 2025)</w:t>
      </w:r>
    </w:p>
    <w:p>
      <w:pPr>
        <w:widowControl w:val="0"/>
        <w:spacing w:before="104" w:after="40" w:line="230" w:lineRule="exact"/>
        <w:pBdr>
          <w:bottom w:val="single" w:sz="7" w:space="1" w:color="000000"/>
        </w:pBdr>
      </w:pPr>
      <w:r>
        <w:rPr>
          <w:b/>
          <w:sz w:val="20"/>
        </w:rPr>
        <w:t>EXPERIENCE</w:t>
      </w:r>
    </w:p>
    <w:p>
      <w:pPr>
        <w:widowControl w:val="0"/>
        <w:tabs>
          <w:tab w:pos="10656" w:val="right"/>
        </w:tabs>
        <w:spacing w:before="0" w:after="12" w:line="230" w:lineRule="exact"/>
      </w:pPr>
      <w:r>
        <w:rPr>
          <w:b/>
          <w:i w:val="0"/>
        </w:rPr>
        <w:t>Taxwide Inc.</w:t>
      </w:r>
      <w:r>
        <w:tab/>
        <w:t>Mississauga, ON</w:t>
      </w:r>
    </w:p>
    <w:p>
      <w:pPr>
        <w:widowControl w:val="0"/>
        <w:tabs>
          <w:tab w:pos="10656" w:val="right"/>
        </w:tabs>
        <w:spacing w:before="0" w:after="12" w:line="230" w:lineRule="exact"/>
      </w:pPr>
      <w:r>
        <w:rPr>
          <w:b w:val="0"/>
          <w:i/>
        </w:rPr>
        <w:t>Tax Associate (Co-op)</w:t>
      </w:r>
      <w:r>
        <w:tab/>
        <w:t>Jan 2026 to Apr 2026</w:t>
      </w:r>
    </w:p>
    <w:p>
      <w:pPr>
        <w:widowControl w:val="0"/>
        <w:tabs>
          <w:tab w:pos="230" w:val="left"/>
        </w:tabs>
        <w:spacing w:before="0" w:after="23" w:line="230" w:lineRule="exact"/>
        <w:ind w:left="230" w:hanging="230"/>
      </w:pPr>
      <w:r>
        <w:t>•</w:t>
        <w:tab/>
      </w:r>
      <w:r>
        <w:rPr>
          <w:b w:val="0"/>
          <w:i w:val="0"/>
        </w:rPr>
        <w:t>Prepared 200+ T1 personal returns in DT Max across the 2026 filing season, assembling employment, investment and self-employment income from client documentation and CRA Auto-fill my return downloads covering T4, T5, T3 and RRSP slips</w:t>
      </w:r>
    </w:p>
    <w:p>
      <w:pPr>
        <w:widowControl w:val="0"/>
        <w:tabs>
          <w:tab w:pos="230" w:val="left"/>
        </w:tabs>
        <w:spacing w:before="0" w:after="23" w:line="230" w:lineRule="exact"/>
        <w:ind w:left="230" w:hanging="230"/>
      </w:pPr>
      <w:r>
        <w:t>•</w:t>
        <w:tab/>
      </w:r>
      <w:r>
        <w:rPr>
          <w:b w:val="0"/>
          <w:i w:val="0"/>
        </w:rPr>
        <w:t>Reviewed each completed return against its source slips before release for signature, clearing variances in reported income, spouse or common-law partner amount claims that depend on a spouse's net income, and amounts transferred from a spouse under Schedule 2</w:t>
      </w:r>
    </w:p>
    <w:p>
      <w:pPr>
        <w:widowControl w:val="0"/>
        <w:tabs>
          <w:tab w:pos="230" w:val="left"/>
        </w:tabs>
        <w:spacing w:before="0" w:after="23" w:line="230" w:lineRule="exact"/>
        <w:ind w:left="230" w:hanging="230"/>
      </w:pPr>
      <w:r>
        <w:t>•</w:t>
        <w:tab/>
      </w:r>
      <w:r>
        <w:rPr>
          <w:b w:val="0"/>
          <w:i w:val="0"/>
        </w:rPr>
        <w:t>Reconciled balances owing and instalment positions to CRA administrative positions, and prepared the written explanations clients received with their assessments</w:t>
      </w:r>
    </w:p>
    <w:p>
      <w:pPr>
        <w:widowControl w:val="0"/>
        <w:tabs>
          <w:tab w:pos="230" w:val="left"/>
        </w:tabs>
        <w:spacing w:before="0" w:after="23" w:line="230" w:lineRule="exact"/>
        <w:ind w:left="230" w:hanging="230"/>
      </w:pPr>
      <w:r>
        <w:t>•</w:t>
        <w:tab/>
      </w:r>
      <w:r>
        <w:rPr>
          <w:b w:val="0"/>
          <w:i w:val="0"/>
        </w:rPr>
        <w:t>Ran client intake and season correspondence at peak volume, including Represent a Client authorization requests and follow-up on missing slips, and held the file record in order through a season carrying 200+ files</w:t>
      </w:r>
    </w:p>
    <w:p>
      <w:pPr>
        <w:widowControl w:val="0"/>
        <w:spacing w:before="104" w:after="40" w:line="230" w:lineRule="exact"/>
        <w:pBdr>
          <w:bottom w:val="single" w:sz="7" w:space="1" w:color="000000"/>
        </w:pBdr>
      </w:pPr>
      <w:r>
        <w:rPr>
          <w:b/>
          <w:sz w:val="20"/>
        </w:rPr>
        <w:t>INDEPENDENT RESEARCH</w:t>
      </w:r>
    </w:p>
    <w:p>
      <w:pPr>
        <w:widowControl w:val="0"/>
        <w:tabs>
          <w:tab w:pos="10656" w:val="right"/>
        </w:tabs>
        <w:spacing w:before="0" w:after="12" w:line="230" w:lineRule="exact"/>
      </w:pPr>
      <w:hyperlink r:id="rId11">
        <w:r>
          <w:rPr>
            <w:b/>
            <w:i w:val="0"/>
            <w:color w:val="1F4E79"/>
            <w:u w:val="single" w:color="1F4E79"/>
          </w:rPr>
          <w:t>alexrajcoomar.github.io</w:t>
        </w:r>
      </w:hyperlink>
    </w:p>
    <w:p>
      <w:pPr>
        <w:widowControl w:val="0"/>
        <w:tabs>
          <w:tab w:pos="10656" w:val="right"/>
        </w:tabs>
        <w:spacing w:before="0" w:after="12" w:line="230" w:lineRule="exact"/>
      </w:pPr>
      <w:r>
        <w:rPr>
          <w:b w:val="0"/>
          <w:i/>
        </w:rPr>
        <w:t>Author and publisher, independent research in Canadian tax, financial reporting and forensic accounting</w:t>
      </w:r>
      <w:r>
        <w:tab/>
        <w:t>2026 to Present</w:t>
      </w:r>
    </w:p>
    <w:p>
      <w:pPr>
        <w:widowControl w:val="0"/>
        <w:tabs>
          <w:tab w:pos="230" w:val="left"/>
        </w:tabs>
        <w:spacing w:before="0" w:after="23" w:line="230" w:lineRule="exact"/>
        <w:ind w:left="230" w:hanging="230"/>
      </w:pPr>
      <w:r>
        <w:t>•</w:t>
        <w:tab/>
      </w:r>
      <w:r>
        <w:rPr>
          <w:b w:val="0"/>
          <w:i w:val="0"/>
        </w:rPr>
        <w:t xml:space="preserve">Publish </w:t>
      </w:r>
      <w:r>
        <w:rPr>
          <w:b/>
          <w:i w:val="0"/>
        </w:rPr>
        <w:t>67 pieces, 25 of them independent research</w:t>
      </w:r>
      <w:r>
        <w:rPr>
          <w:b w:val="0"/>
          <w:i w:val="0"/>
        </w:rPr>
        <w:t>, carrying 188 figures and 7 interactive tools. Every figure names its source, every derived number is labelled as derived, and the site refuses to build if a published number does not match the data it was computed from</w:t>
      </w:r>
    </w:p>
    <w:p>
      <w:pPr>
        <w:widowControl w:val="0"/>
        <w:tabs>
          <w:tab w:pos="230" w:val="left"/>
        </w:tabs>
        <w:spacing w:before="0" w:after="23" w:line="230" w:lineRule="exact"/>
        <w:ind w:left="230" w:hanging="230"/>
      </w:pPr>
      <w:r>
        <w:t>•</w:t>
        <w:tab/>
      </w:r>
      <w:r>
        <w:rPr>
          <w:b/>
          <w:i/>
        </w:rPr>
        <w:t>The tax base nobody discloses:</w:t>
      </w:r>
      <w:r>
        <w:rPr>
          <w:b w:val="0"/>
          <w:i w:val="0"/>
        </w:rPr>
        <w:t xml:space="preserve"> no Canadian issuer publishes a UCC balance, so reconstructed Dollarama's across seven CCA classes from its deferred tax disclosure and SEDAR+ filings, ran the allowance under the rates and first-year rules in force, and showed the statutory shield worth </w:t>
      </w:r>
      <w:r>
        <w:rPr>
          <w:b/>
          <w:i w:val="0"/>
        </w:rPr>
        <w:t>$1.78 to $2.27 per share</w:t>
      </w:r>
      <w:r>
        <w:rPr>
          <w:b w:val="0"/>
          <w:i w:val="0"/>
        </w:rPr>
        <w:t xml:space="preserve"> more than a book depreciation proxy. The reconstructed base reproduces the issuer's disclosed current tax expense for a year it was not fitted to</w:t>
      </w:r>
    </w:p>
    <w:p>
      <w:pPr>
        <w:widowControl w:val="0"/>
        <w:tabs>
          <w:tab w:pos="230" w:val="left"/>
        </w:tabs>
        <w:spacing w:before="0" w:after="23" w:line="230" w:lineRule="exact"/>
        <w:ind w:left="230" w:hanging="230"/>
      </w:pPr>
      <w:r>
        <w:t>•</w:t>
        <w:tab/>
      </w:r>
      <w:r>
        <w:rPr>
          <w:b/>
          <w:i/>
        </w:rPr>
        <w:t>IFRS 15 Judgment Trainer:</w:t>
      </w:r>
      <w:r>
        <w:rPr>
          <w:b w:val="0"/>
          <w:i w:val="0"/>
        </w:rPr>
        <w:t xml:space="preserve"> wrote and verified </w:t>
      </w:r>
      <w:r>
        <w:rPr>
          <w:b/>
          <w:i w:val="0"/>
        </w:rPr>
        <w:t>62 revenue recognition scenarios</w:t>
      </w:r>
      <w:r>
        <w:rPr>
          <w:b w:val="0"/>
          <w:i w:val="0"/>
        </w:rPr>
        <w:t>, 29 determinate and 33 turning on judgment the standard leaves open, each answer tied to a paragraph or illustrative example and checked item by item against IFRS 15 in Part I of the CPA Canada Handbook, 2026 Edition, on Knotia</w:t>
      </w:r>
    </w:p>
    <w:p>
      <w:pPr>
        <w:widowControl w:val="0"/>
        <w:spacing w:before="104" w:after="40" w:line="230" w:lineRule="exact"/>
        <w:pBdr>
          <w:bottom w:val="single" w:sz="7" w:space="1" w:color="000000"/>
        </w:pBdr>
      </w:pPr>
      <w:r>
        <w:rPr>
          <w:b/>
          <w:sz w:val="20"/>
        </w:rPr>
        <w:t>PROJECTS AND COMPETITIONS</w:t>
      </w:r>
    </w:p>
    <w:p>
      <w:pPr>
        <w:widowControl w:val="0"/>
        <w:tabs>
          <w:tab w:pos="10656" w:val="right"/>
        </w:tabs>
        <w:spacing w:before="0" w:after="12" w:line="230" w:lineRule="exact"/>
      </w:pPr>
      <w:r>
        <w:rPr>
          <w:b/>
          <w:i w:val="0"/>
        </w:rPr>
        <w:t>Pet Valu Strategic Growth Case</w:t>
      </w:r>
      <w:r>
        <w:rPr>
          <w:b w:val="0"/>
          <w:i w:val="0"/>
        </w:rPr>
        <w:t>, team of four</w:t>
      </w:r>
      <w:r>
        <w:tab/>
        <w:t>2025</w:t>
      </w:r>
    </w:p>
    <w:p>
      <w:pPr>
        <w:widowControl w:val="0"/>
        <w:tabs>
          <w:tab w:pos="230" w:val="left"/>
        </w:tabs>
        <w:spacing w:before="0" w:after="23" w:line="230" w:lineRule="exact"/>
        <w:ind w:left="230" w:hanging="230"/>
      </w:pPr>
      <w:r>
        <w:t>•</w:t>
        <w:tab/>
      </w:r>
      <w:r>
        <w:rPr>
          <w:b w:val="0"/>
          <w:i w:val="0"/>
        </w:rPr>
        <w:t xml:space="preserve">Built three-year pro forma models for two capital deployment strategies behind a </w:t>
      </w:r>
      <w:r>
        <w:rPr>
          <w:b/>
          <w:i w:val="0"/>
        </w:rPr>
        <w:t>$575M</w:t>
      </w:r>
      <w:r>
        <w:rPr>
          <w:b w:val="0"/>
          <w:i w:val="0"/>
        </w:rPr>
        <w:t xml:space="preserve"> expansion decision, stress-testing ROA, debt to EBITDA and net profit margin under aggressive and conservative growth assumptions</w:t>
      </w:r>
    </w:p>
    <w:p>
      <w:pPr>
        <w:widowControl w:val="0"/>
        <w:tabs>
          <w:tab w:pos="230" w:val="left"/>
        </w:tabs>
        <w:spacing w:before="0" w:after="23" w:line="230" w:lineRule="exact"/>
        <w:ind w:left="230" w:hanging="230"/>
      </w:pPr>
      <w:r>
        <w:t>•</w:t>
        <w:tab/>
      </w:r>
      <w:r>
        <w:rPr>
          <w:b w:val="0"/>
          <w:i w:val="0"/>
        </w:rPr>
        <w:t xml:space="preserve">Recommended conservative expansion to a simulated CEO and CFO panel on a </w:t>
      </w:r>
      <w:r>
        <w:rPr>
          <w:b/>
          <w:i w:val="0"/>
        </w:rPr>
        <w:t>sustained 16% ROA</w:t>
      </w:r>
      <w:r>
        <w:rPr>
          <w:b w:val="0"/>
          <w:i w:val="0"/>
        </w:rPr>
        <w:t xml:space="preserve"> against a decline from 17% to 10% under the aggressive case, benchmarked against PetSmart and Petco</w:t>
      </w:r>
    </w:p>
    <w:p>
      <w:pPr>
        <w:widowControl w:val="0"/>
        <w:tabs>
          <w:tab w:pos="10656" w:val="right"/>
        </w:tabs>
        <w:spacing w:before="56" w:after="12" w:line="230" w:lineRule="exact"/>
      </w:pPr>
      <w:r>
        <w:rPr>
          <w:b/>
          <w:i w:val="0"/>
        </w:rPr>
        <w:t>UW CISA Interactive Business Dashboard Competition</w:t>
      </w:r>
      <w:r>
        <w:rPr>
          <w:b w:val="0"/>
          <w:i w:val="0"/>
        </w:rPr>
        <w:t>, team of four</w:t>
      </w:r>
      <w:r>
        <w:tab/>
        <w:t>2024</w:t>
      </w:r>
    </w:p>
    <w:p>
      <w:pPr>
        <w:widowControl w:val="0"/>
        <w:tabs>
          <w:tab w:pos="230" w:val="left"/>
        </w:tabs>
        <w:spacing w:before="0" w:after="23" w:line="230" w:lineRule="exact"/>
        <w:ind w:left="230" w:hanging="230"/>
      </w:pPr>
      <w:r>
        <w:t>•</w:t>
        <w:tab/>
      </w:r>
      <w:r>
        <w:rPr>
          <w:b w:val="0"/>
          <w:i w:val="0"/>
        </w:rPr>
        <w:t xml:space="preserve">Built the competition dashboard in </w:t>
      </w:r>
      <w:r>
        <w:rPr>
          <w:b/>
          <w:i w:val="0"/>
        </w:rPr>
        <w:t>Tableau</w:t>
      </w:r>
      <w:r>
        <w:rPr>
          <w:b w:val="0"/>
          <w:i w:val="0"/>
        </w:rPr>
        <w:t xml:space="preserve"> and Excel from multi-variable performance datasets analysed in R, and presented the competitive gaps the data exposed as a short set of specific operating recommendations</w:t>
      </w:r>
    </w:p>
    <w:p>
      <w:pPr>
        <w:widowControl w:val="0"/>
        <w:spacing w:before="104" w:after="40" w:line="230" w:lineRule="exact"/>
        <w:pBdr>
          <w:bottom w:val="single" w:sz="7" w:space="1" w:color="000000"/>
        </w:pBdr>
      </w:pPr>
      <w:r>
        <w:rPr>
          <w:b/>
          <w:sz w:val="20"/>
        </w:rPr>
        <w:t>ADDITIONAL</w:t>
      </w:r>
    </w:p>
    <w:p>
      <w:pPr>
        <w:widowControl w:val="0"/>
        <w:tabs>
          <w:tab w:pos="230" w:val="left"/>
        </w:tabs>
        <w:spacing w:before="0" w:after="23" w:line="230" w:lineRule="exact"/>
        <w:ind w:left="230" w:hanging="230"/>
      </w:pPr>
      <w:r>
        <w:t>•</w:t>
        <w:tab/>
      </w:r>
      <w:r>
        <w:rPr>
          <w:b/>
          <w:i w:val="0"/>
        </w:rPr>
        <w:t>Tax and accounting systems:</w:t>
      </w:r>
      <w:r>
        <w:rPr>
          <w:b w:val="0"/>
          <w:i w:val="0"/>
        </w:rPr>
        <w:t xml:space="preserve"> DT Max; CRA Represent a Client; Auto-fill my return; T1 preparation and T-slip reconciliation; Knotia (CPA Canada Handbook); SEDAR+</w:t>
      </w:r>
    </w:p>
    <w:p>
      <w:pPr>
        <w:widowControl w:val="0"/>
        <w:tabs>
          <w:tab w:pos="230" w:val="left"/>
        </w:tabs>
        <w:spacing w:before="0" w:after="23" w:line="230" w:lineRule="exact"/>
        <w:ind w:left="230" w:hanging="230"/>
      </w:pPr>
      <w:r>
        <w:t>•</w:t>
        <w:tab/>
      </w:r>
      <w:r>
        <w:rPr>
          <w:b/>
          <w:i w:val="0"/>
        </w:rPr>
        <w:t>Canadian technical:</w:t>
      </w:r>
      <w:r>
        <w:rPr>
          <w:b w:val="0"/>
          <w:i w:val="0"/>
        </w:rPr>
        <w:t xml:space="preserve"> Income Tax Act and Regulations; capital cost allowance and UCC roll-forwards; IFRS as adopted in Canada (Part I); ASPE (Part II)</w:t>
      </w:r>
    </w:p>
    <w:p>
      <w:pPr>
        <w:widowControl w:val="0"/>
        <w:tabs>
          <w:tab w:pos="230" w:val="left"/>
        </w:tabs>
        <w:spacing w:before="0" w:after="23" w:line="230" w:lineRule="exact"/>
        <w:ind w:left="230" w:hanging="230"/>
      </w:pPr>
      <w:r>
        <w:t>•</w:t>
        <w:tab/>
      </w:r>
      <w:r>
        <w:rPr>
          <w:b/>
          <w:i w:val="0"/>
        </w:rPr>
        <w:t>Analytical:</w:t>
      </w:r>
      <w:r>
        <w:rPr>
          <w:b w:val="0"/>
          <w:i w:val="0"/>
        </w:rPr>
        <w:t xml:space="preserve"> Excel; Tableau; Python; R; three-statement and DCF modelling; scenario and sensitivity analysis</w:t>
      </w:r>
    </w:p>
    <w:p>
      <w:pPr>
        <w:widowControl w:val="0"/>
        <w:tabs>
          <w:tab w:pos="230" w:val="left"/>
        </w:tabs>
        <w:spacing w:before="0" w:after="23" w:line="230" w:lineRule="exact"/>
        <w:ind w:left="230" w:hanging="230"/>
      </w:pPr>
      <w:r>
        <w:t>•</w:t>
        <w:tab/>
      </w:r>
      <w:r>
        <w:rPr>
          <w:b/>
          <w:i w:val="0"/>
        </w:rPr>
        <w:t>Volunteering:</w:t>
      </w:r>
      <w:r>
        <w:rPr>
          <w:b w:val="0"/>
          <w:i w:val="0"/>
        </w:rPr>
        <w:t xml:space="preserve"> Habitat for Humanity ReStore (Jul to Sep 2023): recorded sales and reconciled daily revenue</w:t>
      </w:r>
    </w:p>
    <w:p>
      <w:pPr>
        <w:widowControl w:val="0"/>
        <w:tabs>
          <w:tab w:pos="230" w:val="left"/>
        </w:tabs>
        <w:spacing w:before="0" w:after="23" w:line="230" w:lineRule="exact"/>
        <w:ind w:left="230" w:hanging="230"/>
      </w:pPr>
      <w:r>
        <w:t>•</w:t>
        <w:tab/>
      </w:r>
      <w:r>
        <w:rPr>
          <w:b/>
          <w:i w:val="0"/>
        </w:rPr>
        <w:t>Interests:</w:t>
      </w:r>
      <w:r>
        <w:rPr>
          <w:b w:val="0"/>
          <w:i w:val="0"/>
        </w:rPr>
        <w:t xml:space="preserve"> capital cycles; forecasting and calibration; the science of learning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line="230" w:lineRule="exact" w:before="0" w:after="0"/>
    </w:pPr>
    <w:rPr>
      <w:rFonts w:ascii="Times New Roman" w:hAnsi="Times New Roman" w:eastAsia="Times New Roman" w:cs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2rajcoo@uwaterloo.ca" TargetMode="External"/><Relationship Id="rId10" Type="http://schemas.openxmlformats.org/officeDocument/2006/relationships/hyperlink" Target="https://www.linkedin.com/in/leesharam-rajcoomar/" TargetMode="External"/><Relationship Id="rId11" Type="http://schemas.openxmlformats.org/officeDocument/2006/relationships/hyperlink" Target="https://alexrajcoomar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