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1F4E79"/>
            <w:u w:val="single" w:color="1F4E79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1F4E79"/>
            <w:u w:val="single" w:color="1F4E79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The work your team would care about is published rather than claimed. Flagged in Hindsight runs the Beneish M-Score ex ante on five Canadian frauds and reports that none of the three computable test years crossed the standard cut-off, with the script and inputs published so the result can be re-run and attacked. My IFRS 15 trainer carries 62 revenue scenarios verified against Part I of the CPA Canada Handbook, and it separates what the standard settles from what it leaves to judgment. Both rest on the habit a tax file teaches: agree the figure to its source first. [One sentence naming this team's mandate.]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1F4E79"/>
            <w:u w:val="single" w:color="1F4E79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