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1F4E79"/>
            <w:u w:val="single" w:color="1F4E79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1F4E79"/>
            <w:u w:val="single" w:color="1F4E79"/>
          </w:rPr>
          <w:t>alexrajcoomar.github.io</w:t>
        </w:r>
      </w:hyperlink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model capital decisions and test whether they survive being wrong. For a Pet Valu strategic growth case I built three-year pro formas for two capital deployment strategies behind a $575M expansion, stress-testing ROA, debt to EBITDA and net profit margin, and recommended the conservative path to a simulated CEO and CFO panel on a sustained 16% ROA against a decline from 17% to 10% under the aggressive case. I build the reporting layer as well as the model, in Tableau and in Python, and I have reconciled the data at volume through a tax season. [One sentence on this company's own capital or margin problem.]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Everything above is published at </w:t>
      </w:r>
      <w:hyperlink r:id="rId11">
        <w:r>
          <w:rPr>
            <w:b w:val="0"/>
            <w:i w:val="0"/>
            <w:color w:val="1F4E79"/>
            <w:u w:val="single" w:color="1F4E79"/>
          </w:rPr>
          <w:t>alexrajcoomar.github.io</w:t>
        </w:r>
      </w:hyperlink>
      <w:r>
        <w:rPr>
          <w:b w:val="0"/>
          <w:i w:val="0"/>
        </w:rPr>
        <w:t>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I would welcome the chance to discuss the role with you. I can be reached at </w:t>
      </w:r>
      <w:hyperlink r:id="rId9">
        <w:r>
          <w:rPr>
            <w:b w:val="0"/>
            <w:i w:val="0"/>
            <w:color w:val="1F4E79"/>
            <w:u w:val="single" w:color="1F4E79"/>
          </w:rPr>
          <w:t>a2rajcoo@uwaterloo.ca</w:t>
        </w:r>
      </w:hyperlink>
      <w:r>
        <w:rPr>
          <w:b w:val="0"/>
          <w:i w:val="0"/>
        </w:rPr>
        <w:t xml:space="preserve">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