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24" w:line="370" w:lineRule="exact"/>
        <w:jc w:val="center"/>
      </w:pPr>
      <w:r>
        <w:rPr>
          <w:b/>
          <w:sz w:val="34"/>
        </w:rPr>
        <w:t>LEESHARAM (ALEX) RAJCOOMAR</w:t>
      </w:r>
    </w:p>
    <w:p>
      <w:pPr>
        <w:widowControl w:val="0"/>
        <w:spacing w:before="0" w:after="10" w:line="220" w:lineRule="exact"/>
        <w:jc w:val="center"/>
      </w:pPr>
      <w:r>
        <w:rPr>
          <w:b w:val="0"/>
          <w:i w:val="0"/>
          <w:sz w:val="19"/>
        </w:rPr>
        <w:t xml:space="preserve">Brampton, ON | (647) 471-3023 | </w:t>
      </w:r>
      <w:hyperlink r:id="rId9">
        <w:r>
          <w:rPr>
            <w:b w:val="0"/>
            <w:i w:val="0"/>
            <w:sz w:val="19"/>
            <w:color w:val="000000"/>
            <w:u w:val="single" w:color="6B6B6B"/>
          </w:rPr>
          <w:t>a2rajcoo@uwaterloo.ca</w:t>
        </w:r>
      </w:hyperlink>
      <w:r>
        <w:rPr>
          <w:b w:val="0"/>
          <w:i w:val="0"/>
          <w:sz w:val="19"/>
        </w:rPr>
        <w:t xml:space="preserve"> | </w:t>
      </w:r>
      <w:hyperlink r:id="rId10">
        <w:r>
          <w:rPr>
            <w:b w:val="0"/>
            <w:i w:val="0"/>
            <w:sz w:val="19"/>
            <w:color w:val="000000"/>
            <w:u w:val="single" w:color="6B6B6B"/>
          </w:rPr>
          <w:t>linkedin.com/in/leesharam-rajcoomar</w:t>
        </w:r>
      </w:hyperlink>
      <w:r>
        <w:rPr>
          <w:b w:val="0"/>
          <w:i w:val="0"/>
          <w:sz w:val="19"/>
        </w:rPr>
        <w:t xml:space="preserve"> | </w:t>
      </w:r>
      <w:hyperlink r:id="rId11">
        <w:r>
          <w:rPr>
            <w:b w:val="0"/>
            <w:i w:val="0"/>
            <w:sz w:val="19"/>
            <w:color w:val="000000"/>
            <w:u w:val="single" w:color="6B6B6B"/>
          </w:rPr>
          <w:t>alexrajcoomar.github.io</w:t>
        </w:r>
      </w:hyperlink>
    </w:p>
    <w:p>
      <w:pPr>
        <w:widowControl w:val="0"/>
        <w:spacing w:before="0" w:after="40" w:line="224" w:lineRule="exact"/>
        <w:jc w:val="center"/>
      </w:pPr>
      <w:r>
        <w:rPr>
          <w:i/>
          <w:sz w:val="19"/>
        </w:rPr>
        <w:t>Available for a January to April 2027 co-op work term</w:t>
      </w:r>
    </w:p>
    <w:p>
      <w:pPr>
        <w:widowControl w:val="0"/>
        <w:spacing w:before="60" w:after="40" w:line="230" w:lineRule="exact"/>
        <w:pBdr>
          <w:bottom w:val="single" w:sz="7" w:space="1" w:color="000000"/>
        </w:pBdr>
      </w:pPr>
      <w:r>
        <w:rPr>
          <w:b/>
          <w:sz w:val="20"/>
        </w:rPr>
        <w:t>EDUCATION</w:t>
      </w:r>
    </w:p>
    <w:p>
      <w:pPr>
        <w:widowControl w:val="0"/>
        <w:tabs>
          <w:tab w:pos="10656" w:val="right"/>
        </w:tabs>
        <w:spacing w:before="0" w:after="12" w:line="226" w:lineRule="exact"/>
      </w:pPr>
      <w:r>
        <w:rPr>
          <w:b/>
          <w:i w:val="0"/>
        </w:rPr>
        <w:t>University of Waterloo, School of Accounting and Finance</w:t>
      </w:r>
      <w:r>
        <w:tab/>
        <w:t>Waterloo, ON</w:t>
      </w:r>
    </w:p>
    <w:p>
      <w:pPr>
        <w:widowControl w:val="0"/>
        <w:tabs>
          <w:tab w:pos="10656" w:val="right"/>
        </w:tabs>
        <w:spacing w:before="0" w:after="12" w:line="226" w:lineRule="exact"/>
      </w:pPr>
      <w:r>
        <w:rPr>
          <w:b w:val="0"/>
          <w:i/>
        </w:rPr>
        <w:t>Bachelor of Accounting and Financial Management (Honours, Co-op), Analytics stream</w:t>
      </w:r>
      <w:r>
        <w:tab/>
        <w:t>Sep 2024 to Apr 2029 (expected)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>Merit Scholarship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 w:val="0"/>
        </w:rPr>
        <w:t>In progress, Fall 2026:</w:t>
      </w:r>
      <w:r>
        <w:rPr>
          <w:b w:val="0"/>
          <w:i w:val="0"/>
        </w:rPr>
        <w:t xml:space="preserve"> Accounting Information Systems; Cost Management Systems; Intermediate Financial Accounting 1; Personal Financial Planning and Taxation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 w:val="0"/>
        </w:rPr>
        <w:t>Completed:</w:t>
      </w:r>
      <w:r>
        <w:rPr>
          <w:b w:val="0"/>
          <w:i w:val="0"/>
        </w:rPr>
        <w:t xml:space="preserve"> Introduction to Performance Analytics (Tableau); Analytic Methods for Business 1 to 3; Introduction to Computer Science; Introduction to Tax; Introduction to Assurance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>DECA Finance, provincial competitor (2022 to 2024); UWNRG Nanorobotics Group, Business Associate (Winter 2025)</w:t>
      </w:r>
    </w:p>
    <w:p>
      <w:pPr>
        <w:widowControl w:val="0"/>
        <w:spacing w:before="104" w:after="40" w:line="230" w:lineRule="exact"/>
        <w:pBdr>
          <w:bottom w:val="single" w:sz="7" w:space="1" w:color="000000"/>
        </w:pBdr>
      </w:pPr>
      <w:r>
        <w:rPr>
          <w:b/>
          <w:sz w:val="20"/>
        </w:rPr>
        <w:t>EXPERIENCE</w:t>
      </w:r>
    </w:p>
    <w:p>
      <w:pPr>
        <w:widowControl w:val="0"/>
        <w:tabs>
          <w:tab w:pos="10656" w:val="right"/>
        </w:tabs>
        <w:spacing w:before="0" w:after="12" w:line="226" w:lineRule="exact"/>
      </w:pPr>
      <w:r>
        <w:rPr>
          <w:b/>
          <w:i w:val="0"/>
        </w:rPr>
        <w:t>Taxwide Inc.</w:t>
      </w:r>
      <w:r>
        <w:tab/>
        <w:t>Mississauga, ON</w:t>
      </w:r>
    </w:p>
    <w:p>
      <w:pPr>
        <w:widowControl w:val="0"/>
        <w:tabs>
          <w:tab w:pos="10656" w:val="right"/>
        </w:tabs>
        <w:spacing w:before="0" w:after="12" w:line="226" w:lineRule="exact"/>
      </w:pPr>
      <w:r>
        <w:rPr>
          <w:b w:val="0"/>
          <w:i/>
        </w:rPr>
        <w:t>Tax Associate (Co-op)</w:t>
      </w:r>
      <w:r>
        <w:tab/>
        <w:t>Jan 2026 to Apr 2026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>Processed 200+ client files through a fixed-deadline production cycle in DT Max, normalising incomplete source documentation into a structured return and holding throughput through the season's peak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>Reconciled every file to its underlying records before release, clearing exceptions between client-reported figures, CRA Auto-fill my return data and third-party slips, and resolving the balance differences that fell out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>Owned client intake and correspondence for the file load, including authorization requests and written explanations of amounts owing, and kept a queue of 200+ files auditable end to end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>Worked the season inside DT Max and CRA's Represent a Client and Auto-fill my return systems, which is where the case for automating the mechanical half of a reconciliation came from</w:t>
      </w:r>
    </w:p>
    <w:p>
      <w:pPr>
        <w:widowControl w:val="0"/>
        <w:spacing w:before="104" w:after="40" w:line="230" w:lineRule="exact"/>
        <w:pBdr>
          <w:bottom w:val="single" w:sz="7" w:space="1" w:color="000000"/>
        </w:pBdr>
      </w:pPr>
      <w:r>
        <w:rPr>
          <w:b/>
          <w:sz w:val="20"/>
        </w:rPr>
        <w:t>INDEPENDENT RESEARCH AND BUILDS</w:t>
      </w:r>
    </w:p>
    <w:p>
      <w:pPr>
        <w:widowControl w:val="0"/>
        <w:tabs>
          <w:tab w:pos="10656" w:val="right"/>
        </w:tabs>
        <w:spacing w:before="0" w:after="12" w:line="226" w:lineRule="exact"/>
      </w:pPr>
      <w:hyperlink r:id="rId11">
        <w:r>
          <w:rPr>
            <w:b/>
            <w:i w:val="0"/>
            <w:color w:val="000000"/>
            <w:u w:val="single" w:color="6B6B6B"/>
          </w:rPr>
          <w:t>alexrajcoomar.github.io</w:t>
        </w:r>
      </w:hyperlink>
    </w:p>
    <w:p>
      <w:pPr>
        <w:widowControl w:val="0"/>
        <w:tabs>
          <w:tab w:pos="10656" w:val="right"/>
        </w:tabs>
        <w:spacing w:before="0" w:after="12" w:line="226" w:lineRule="exact"/>
      </w:pPr>
      <w:r>
        <w:rPr>
          <w:b w:val="0"/>
          <w:i/>
        </w:rPr>
        <w:t>Author, publisher and sole engineer of a reproducible research platform</w:t>
      </w:r>
      <w:r>
        <w:tab/>
        <w:t>2026 to Present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/>
        </w:rPr>
        <w:t>The tax base nobody discloses:</w:t>
      </w:r>
      <w:r>
        <w:rPr>
          <w:b w:val="0"/>
          <w:i w:val="0"/>
        </w:rPr>
        <w:t xml:space="preserve"> built a Python valuation module that reconstructs Dollarama's tax base across seven CCA classes, rolls the allowance forward under statutory rates, builds a 5.56% WACC from a regressed beta and the issuer's own debt tranches, and discounts free cash flow under two capital anchors returning </w:t>
      </w:r>
      <w:r>
        <w:rPr>
          <w:b/>
          <w:i w:val="0"/>
        </w:rPr>
        <w:t>$187.16 and $125.14 per share</w:t>
      </w:r>
      <w:r>
        <w:rPr>
          <w:b w:val="0"/>
          <w:i w:val="0"/>
        </w:rPr>
        <w:t xml:space="preserve"> against a $183.50 market price. Nothing is typed in: every figure is recomputed on each build and the build fails if page and model disagree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Designed and ship the platform itself: </w:t>
      </w:r>
      <w:r>
        <w:rPr>
          <w:b/>
          <w:i w:val="0"/>
        </w:rPr>
        <w:t>14,719 lines of Python</w:t>
      </w:r>
      <w:r>
        <w:rPr>
          <w:b w:val="0"/>
          <w:i w:val="0"/>
        </w:rPr>
        <w:t xml:space="preserve"> and 5,222 of JavaScript, standard library only, driving a CI pipeline that measures each page in a real browser, runs a register of automated checks, deliberately falsifies each check to prove it still catches failure, and blocks the deploy on any break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Publish </w:t>
      </w:r>
      <w:r>
        <w:rPr>
          <w:b/>
          <w:i w:val="0"/>
        </w:rPr>
        <w:t>67 pieces, 25 of them independent research</w:t>
      </w:r>
      <w:r>
        <w:rPr>
          <w:b w:val="0"/>
          <w:i w:val="0"/>
        </w:rPr>
        <w:t>, with 188 figures, 799 data tables and 7 interactive tools, every figure carrying its source and every derived number labelled as derived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/>
        </w:rPr>
        <w:t>Flagged in Hindsight:</w:t>
      </w:r>
      <w:r>
        <w:rPr>
          <w:b w:val="0"/>
          <w:i w:val="0"/>
        </w:rPr>
        <w:t xml:space="preserve"> ran the </w:t>
      </w:r>
      <w:r>
        <w:rPr>
          <w:b/>
          <w:i w:val="0"/>
        </w:rPr>
        <w:t>Beneish M-Score</w:t>
      </w:r>
      <w:r>
        <w:rPr>
          <w:b w:val="0"/>
          <w:i w:val="0"/>
        </w:rPr>
        <w:t xml:space="preserve"> as an ex ante screen on five Canadian accounting frauds, found that none of the three computable test years crossed the standard cut-off, and published the script and inputs so the negative result can be reproduced and attacked</w:t>
      </w:r>
    </w:p>
    <w:p>
      <w:pPr>
        <w:widowControl w:val="0"/>
        <w:spacing w:before="104" w:after="40" w:line="230" w:lineRule="exact"/>
        <w:pBdr>
          <w:bottom w:val="single" w:sz="7" w:space="1" w:color="000000"/>
        </w:pBdr>
      </w:pPr>
      <w:r>
        <w:rPr>
          <w:b/>
          <w:sz w:val="20"/>
        </w:rPr>
        <w:t>PROJECTS AND COMPETITIONS</w:t>
      </w:r>
    </w:p>
    <w:p>
      <w:pPr>
        <w:widowControl w:val="0"/>
        <w:tabs>
          <w:tab w:pos="10656" w:val="right"/>
        </w:tabs>
        <w:spacing w:before="0" w:after="12" w:line="226" w:lineRule="exact"/>
      </w:pPr>
      <w:r>
        <w:rPr>
          <w:b/>
          <w:i w:val="0"/>
        </w:rPr>
        <w:t>Pet Valu Strategic Growth Case</w:t>
      </w:r>
      <w:r>
        <w:rPr>
          <w:b w:val="0"/>
          <w:i w:val="0"/>
        </w:rPr>
        <w:t>, team of four</w:t>
      </w:r>
      <w:r>
        <w:tab/>
        <w:t>2025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Built three-year pro forma models for two capital deployment strategies behind a </w:t>
      </w:r>
      <w:r>
        <w:rPr>
          <w:b/>
          <w:i w:val="0"/>
        </w:rPr>
        <w:t>$575M</w:t>
      </w:r>
      <w:r>
        <w:rPr>
          <w:b w:val="0"/>
          <w:i w:val="0"/>
        </w:rPr>
        <w:t xml:space="preserve"> expansion decision, stress-testing ROA, debt to EBITDA and net profit margin under aggressive and conservative growth assumptions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Recommended conservative expansion to a simulated CEO and CFO panel on a </w:t>
      </w:r>
      <w:r>
        <w:rPr>
          <w:b/>
          <w:i w:val="0"/>
        </w:rPr>
        <w:t>sustained 16% ROA</w:t>
      </w:r>
      <w:r>
        <w:rPr>
          <w:b w:val="0"/>
          <w:i w:val="0"/>
        </w:rPr>
        <w:t xml:space="preserve"> against a decline from 17% to 10% under the aggressive case, benchmarked against PetSmart and Petco</w:t>
      </w:r>
    </w:p>
    <w:p>
      <w:pPr>
        <w:widowControl w:val="0"/>
        <w:tabs>
          <w:tab w:pos="10656" w:val="right"/>
        </w:tabs>
        <w:spacing w:before="56" w:after="12" w:line="226" w:lineRule="exact"/>
      </w:pPr>
      <w:r>
        <w:rPr>
          <w:b/>
          <w:i w:val="0"/>
        </w:rPr>
        <w:t>UW CISA Interactive Business Dashboard Competition</w:t>
      </w:r>
      <w:r>
        <w:rPr>
          <w:b w:val="0"/>
          <w:i w:val="0"/>
        </w:rPr>
        <w:t>, team of four</w:t>
      </w:r>
      <w:r>
        <w:tab/>
        <w:t>2024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 w:val="0"/>
          <w:i w:val="0"/>
        </w:rPr>
        <w:t xml:space="preserve">Built the competition dashboard in </w:t>
      </w:r>
      <w:r>
        <w:rPr>
          <w:b/>
          <w:i w:val="0"/>
        </w:rPr>
        <w:t>Tableau</w:t>
      </w:r>
      <w:r>
        <w:rPr>
          <w:b w:val="0"/>
          <w:i w:val="0"/>
        </w:rPr>
        <w:t xml:space="preserve"> and Excel from multi-variable performance datasets analysed in R, and presented the competitive gaps the data exposed as a short set of specific operating recommendations</w:t>
      </w:r>
    </w:p>
    <w:p>
      <w:pPr>
        <w:widowControl w:val="0"/>
        <w:spacing w:before="104" w:after="40" w:line="230" w:lineRule="exact"/>
        <w:pBdr>
          <w:bottom w:val="single" w:sz="7" w:space="1" w:color="000000"/>
        </w:pBdr>
      </w:pPr>
      <w:r>
        <w:rPr>
          <w:b/>
          <w:sz w:val="20"/>
        </w:rPr>
        <w:t>ADDITIONAL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 w:val="0"/>
        </w:rPr>
        <w:t>Modelling:</w:t>
      </w:r>
      <w:r>
        <w:rPr>
          <w:b w:val="0"/>
          <w:i w:val="0"/>
        </w:rPr>
        <w:t xml:space="preserve"> three-statement pro formas; DCF and WACC build-up; capital cost allowance and UCC roll-forwards; scenario, sensitivity and covenant stress-testing; regression-based beta estimation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 w:val="0"/>
        </w:rPr>
        <w:t>Technical:</w:t>
      </w:r>
      <w:r>
        <w:rPr>
          <w:b w:val="0"/>
          <w:i w:val="0"/>
        </w:rPr>
        <w:t xml:space="preserve"> Python; JavaScript; Tableau; Excel; R; Git and GitHub Actions; CI pipelines; automated data reconciliation and verification; browser-based measurement and testing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 w:val="0"/>
        </w:rPr>
        <w:t>Finance and reporting systems:</w:t>
      </w:r>
      <w:r>
        <w:rPr>
          <w:b w:val="0"/>
          <w:i w:val="0"/>
        </w:rPr>
        <w:t xml:space="preserve"> DT Max; SEDAR+; Knotia; IFRS as adopted in Canada (Part I); ASPE (Part II)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 w:val="0"/>
        </w:rPr>
        <w:t>Volunteering:</w:t>
      </w:r>
      <w:r>
        <w:rPr>
          <w:b w:val="0"/>
          <w:i w:val="0"/>
        </w:rPr>
        <w:t xml:space="preserve"> Habitat for Humanity ReStore (Jul to Sep 2023): recorded sales and reconciled daily revenue</w:t>
      </w:r>
    </w:p>
    <w:p>
      <w:pPr>
        <w:widowControl w:val="0"/>
        <w:tabs>
          <w:tab w:pos="230" w:val="left"/>
        </w:tabs>
        <w:spacing w:before="0" w:after="23" w:line="226" w:lineRule="exact"/>
        <w:ind w:left="230" w:hanging="230"/>
      </w:pPr>
      <w:r>
        <w:t>•</w:t>
        <w:tab/>
      </w:r>
      <w:r>
        <w:rPr>
          <w:b/>
          <w:i w:val="0"/>
        </w:rPr>
        <w:t>Interests:</w:t>
      </w:r>
      <w:r>
        <w:rPr>
          <w:b w:val="0"/>
          <w:i w:val="0"/>
        </w:rPr>
        <w:t xml:space="preserve"> capital cycles; forecasting and calibration; the science of learning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26" w:lineRule="exact" w:before="0" w:after="0"/>
    </w:pPr>
    <w:rPr>
      <w:rFonts w:ascii="Times New Roman" w:hAnsi="Times New Roman" w:eastAsia="Times New Roman" w:cs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2rajcoo@uwaterloo.ca" TargetMode="External"/><Relationship Id="rId10" Type="http://schemas.openxmlformats.org/officeDocument/2006/relationships/hyperlink" Target="https://www.linkedin.com/in/leesharam-rajcoomar/" TargetMode="External"/><Relationship Id="rId11" Type="http://schemas.openxmlformats.org/officeDocument/2006/relationships/hyperlink" Target="https://alexrajcoomar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