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bookmarkStart w:colFirst="0" w:colLast="0" w:name="_heading=h.2et92p0" w:id="0"/>
      <w:bookmarkEnd w:id="0"/>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color w:val="775f55"/>
                <w:sz w:val="120"/>
                <w:szCs w:val="1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wentieth Century" w:cs="Twentieth Century" w:eastAsia="Twentieth Century" w:hAnsi="Twentieth Century"/>
                <w:sz w:val="120"/>
                <w:szCs w:val="120"/>
              </w:rPr>
            </w:pPr>
            <w:r w:rsidDel="00000000" w:rsidR="00000000" w:rsidRPr="00000000">
              <w:rPr>
                <w:rtl w:val="0"/>
              </w:rPr>
            </w:r>
          </w:p>
          <w:p w:rsidR="00000000" w:rsidDel="00000000" w:rsidP="00000000" w:rsidRDefault="00000000" w:rsidRPr="00000000" w14:paraId="00000005">
            <w:pPr>
              <w:pStyle w:val="Title"/>
              <w:jc w:val="center"/>
              <w:rPr>
                <w:b w:val="1"/>
                <w:color w:val="000000"/>
                <w:sz w:val="48"/>
                <w:szCs w:val="48"/>
              </w:rPr>
            </w:pPr>
            <w:r w:rsidDel="00000000" w:rsidR="00000000" w:rsidRPr="00000000">
              <w:rPr>
                <w:b w:val="1"/>
                <w:rtl w:val="0"/>
              </w:rPr>
              <w:t xml:space="preserve">Variable Annuity Product Analysis :  Phase One</w:t>
            </w:r>
            <w:r w:rsidDel="00000000" w:rsidR="00000000" w:rsidRPr="00000000">
              <w:rPr>
                <w:rtl w:val="0"/>
              </w:rPr>
            </w:r>
          </w:p>
          <w:p w:rsidR="00000000" w:rsidDel="00000000" w:rsidP="00000000" w:rsidRDefault="00000000" w:rsidRPr="00000000" w14:paraId="00000006">
            <w:pPr>
              <w:jc w:val="center"/>
              <w:rPr>
                <w:rFonts w:ascii="Twentieth Century" w:cs="Twentieth Century" w:eastAsia="Twentieth Century" w:hAnsi="Twentieth Century"/>
                <w:sz w:val="48"/>
                <w:szCs w:val="48"/>
              </w:rPr>
            </w:pPr>
            <w:r w:rsidDel="00000000" w:rsidR="00000000" w:rsidRPr="00000000">
              <w:rPr>
                <w:rtl w:val="0"/>
              </w:rPr>
            </w:r>
          </w:p>
          <w:p w:rsidR="00000000" w:rsidDel="00000000" w:rsidP="00000000" w:rsidRDefault="00000000" w:rsidRPr="00000000" w14:paraId="00000007">
            <w:pPr>
              <w:pStyle w:val="Subtitle"/>
              <w:rPr>
                <w:rFonts w:ascii="Twentieth Century" w:cs="Twentieth Century" w:eastAsia="Twentieth Century" w:hAnsi="Twentieth Century"/>
              </w:rPr>
            </w:pPr>
            <w:bookmarkStart w:colFirst="0" w:colLast="0" w:name="_heading=h.h1mmpjrajsnp" w:id="1"/>
            <w:bookmarkEnd w:id="1"/>
            <w:r w:rsidDel="00000000" w:rsidR="00000000" w:rsidRPr="00000000">
              <w:rPr>
                <w:rFonts w:ascii="Twentieth Century" w:cs="Twentieth Century" w:eastAsia="Twentieth Century" w:hAnsi="Twentieth Century"/>
                <w:rtl w:val="0"/>
              </w:rPr>
              <w:t xml:space="preserve">Orange Team 21</w:t>
            </w:r>
          </w:p>
          <w:p w:rsidR="00000000" w:rsidDel="00000000" w:rsidP="00000000" w:rsidRDefault="00000000" w:rsidRPr="00000000" w14:paraId="00000008">
            <w:pPr>
              <w:pStyle w:val="Subtitle"/>
              <w:rPr>
                <w:rFonts w:ascii="Twentieth Century" w:cs="Twentieth Century" w:eastAsia="Twentieth Century" w:hAnsi="Twentieth Century"/>
              </w:rPr>
            </w:pPr>
            <w:bookmarkStart w:colFirst="0" w:colLast="0" w:name="_heading=h.ja8i4nfe6e0q" w:id="2"/>
            <w:bookmarkEnd w:id="2"/>
            <w:r w:rsidDel="00000000" w:rsidR="00000000" w:rsidRPr="00000000">
              <w:rPr>
                <w:rFonts w:ascii="Twentieth Century" w:cs="Twentieth Century" w:eastAsia="Twentieth Century" w:hAnsi="Twentieth Century"/>
                <w:rtl w:val="0"/>
              </w:rPr>
              <w:t xml:space="preserve">Lev El-Askari</w:t>
            </w:r>
            <w:r w:rsidDel="00000000" w:rsidR="00000000" w:rsidRPr="00000000">
              <w:rPr>
                <w:rFonts w:ascii="Twentieth Century" w:cs="Twentieth Century" w:eastAsia="Twentieth Century" w:hAnsi="Twentieth Century"/>
                <w:rtl w:val="0"/>
              </w:rPr>
              <w:t xml:space="preserve">, Tim Milowic, Gagan Namburi, Alex Raum, Ishanee Rudra</w:t>
            </w:r>
          </w:p>
          <w:p w:rsidR="00000000" w:rsidDel="00000000" w:rsidP="00000000" w:rsidRDefault="00000000" w:rsidRPr="00000000" w14:paraId="00000009">
            <w:pPr>
              <w:pStyle w:val="Subtitle"/>
              <w:rPr>
                <w:rFonts w:ascii="Twentieth Century" w:cs="Twentieth Century" w:eastAsia="Twentieth Century" w:hAnsi="Twentieth Century"/>
              </w:rPr>
            </w:pPr>
            <w:bookmarkStart w:colFirst="0" w:colLast="0" w:name="_heading=h.axi9h5xfq8rb" w:id="3"/>
            <w:bookmarkEnd w:id="3"/>
            <w:r w:rsidDel="00000000" w:rsidR="00000000" w:rsidRPr="00000000">
              <w:rPr>
                <w:rtl w:val="0"/>
              </w:rPr>
            </w:r>
          </w:p>
          <w:p w:rsidR="00000000" w:rsidDel="00000000" w:rsidP="00000000" w:rsidRDefault="00000000" w:rsidRPr="00000000" w14:paraId="0000000A">
            <w:pPr>
              <w:pStyle w:val="Subtitle"/>
              <w:rPr>
                <w:rFonts w:ascii="Twentieth Century" w:cs="Twentieth Century" w:eastAsia="Twentieth Century" w:hAnsi="Twentieth Century"/>
                <w:color w:val="000000"/>
                <w:sz w:val="40"/>
                <w:szCs w:val="40"/>
              </w:rPr>
            </w:pPr>
            <w:bookmarkStart w:colFirst="0" w:colLast="0" w:name="_heading=h.k75ujgmtfc82" w:id="4"/>
            <w:bookmarkEnd w:id="4"/>
            <w:r w:rsidDel="00000000" w:rsidR="00000000" w:rsidRPr="00000000">
              <w:rPr>
                <w:rFonts w:ascii="Twentieth Century" w:cs="Twentieth Century" w:eastAsia="Twentieth Century" w:hAnsi="Twentieth Century"/>
                <w:rtl w:val="0"/>
              </w:rPr>
              <w:t xml:space="preserve">September 2, 2021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775f55"/>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775f55"/>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775f55"/>
                <w:sz w:val="28"/>
                <w:szCs w:val="28"/>
              </w:rPr>
            </w:pPr>
            <w:r w:rsidDel="00000000" w:rsidR="00000000" w:rsidRPr="00000000">
              <w:rPr>
                <w:rtl w:val="0"/>
              </w:rPr>
            </w:r>
          </w:p>
          <w:p w:rsidR="00000000" w:rsidDel="00000000" w:rsidP="00000000" w:rsidRDefault="00000000" w:rsidRPr="00000000" w14:paraId="0000000E">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color w:val="775f55"/>
                <w:sz w:val="40"/>
                <w:szCs w:val="40"/>
              </w:rPr>
            </w:pPr>
            <w:r w:rsidDel="00000000" w:rsidR="00000000" w:rsidRPr="00000000">
              <w:rPr>
                <w:rtl w:val="0"/>
              </w:rPr>
            </w:r>
          </w:p>
        </w:tc>
      </w:tr>
    </w:tbl>
    <w:p w:rsidR="00000000" w:rsidDel="00000000" w:rsidP="00000000" w:rsidRDefault="00000000" w:rsidRPr="00000000" w14:paraId="00000010">
      <w:pPr>
        <w:spacing w:after="40" w:before="400" w:lineRule="auto"/>
        <w:jc w:val="right"/>
        <w:rPr>
          <w:sz w:val="36"/>
          <w:szCs w:val="36"/>
        </w:rPr>
      </w:pPr>
      <w:r w:rsidDel="00000000" w:rsidR="00000000" w:rsidRPr="00000000">
        <w:rPr>
          <w:rtl w:val="0"/>
        </w:rPr>
      </w:r>
    </w:p>
    <w:p w:rsidR="00000000" w:rsidDel="00000000" w:rsidP="00000000" w:rsidRDefault="00000000" w:rsidRPr="00000000" w14:paraId="00000011">
      <w:pPr>
        <w:spacing w:after="40" w:before="40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2">
      <w:pPr>
        <w:spacing w:after="40" w:before="40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e1zakx2id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hyperlink w:anchor="_heading=h.e1zakx2idzk">
            <w:r w:rsidDel="00000000" w:rsidR="00000000" w:rsidRPr="00000000">
              <w:rPr>
                <w:b w:val="1"/>
                <w:rtl w:val="0"/>
              </w:rPr>
              <w:t xml:space="preserve">………………………………………………………………………………………………….</w:t>
            </w:r>
          </w:hyperlink>
          <w:hyperlink w:anchor="_heading=h.e1zakx2id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a6peraii8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b w:val="1"/>
              <w:rtl w:val="0"/>
            </w:rPr>
            <w:t xml:space="preserve"> and Analysis……………………………………………………………………………</w:t>
          </w:r>
          <w:hyperlink w:anchor="_heading=h.la6peraii8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heading=h.xg53hvut1r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Used</w:t>
            </w:r>
          </w:hyperlink>
          <w:hyperlink w:anchor="_heading=h.xg53hvut1rdu">
            <w:r w:rsidDel="00000000" w:rsidR="00000000" w:rsidRPr="00000000">
              <w:rPr>
                <w:rtl w:val="0"/>
              </w:rPr>
              <w:t xml:space="preserve">…………………………………………………………………………………………….</w:t>
            </w:r>
          </w:hyperlink>
          <w:hyperlink w:anchor="_heading=h.xg53hvut1rdu">
            <w:r w:rsidDel="00000000" w:rsidR="00000000" w:rsidRPr="00000000">
              <w:rPr>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Determining Variable Significance………………………………………………………………....</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i w:val="0"/>
              <w:smallCaps w:val="0"/>
              <w:strike w:val="0"/>
              <w:color w:val="000000"/>
              <w:sz w:val="22"/>
              <w:szCs w:val="22"/>
              <w:u w:val="none"/>
              <w:shd w:fill="auto" w:val="clear"/>
              <w:vertAlign w:val="baseline"/>
            </w:rPr>
          </w:pPr>
          <w:r w:rsidDel="00000000" w:rsidR="00000000" w:rsidRPr="00000000">
            <w:rPr>
              <w:rtl w:val="0"/>
            </w:rPr>
            <w:t xml:space="preserve">Odds Ratios…………………………………………………………………………………………..</w:t>
          </w:r>
          <w:hyperlink w:anchor="_heading=h.1noogksu7tvm">
            <w:r w:rsidDel="00000000" w:rsidR="00000000" w:rsidRPr="00000000">
              <w:rPr>
                <w:b w:val="1"/>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rPr>
          </w:pPr>
          <w:hyperlink w:anchor="_heading=h.w9t3vktuh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b w:val="1"/>
              <w:rtl w:val="0"/>
            </w:rPr>
            <w:t xml:space="preserve">…………………………………………………………………………………………………....2</w:t>
          </w:r>
        </w:p>
        <w:p w:rsidR="00000000" w:rsidDel="00000000" w:rsidP="00000000" w:rsidRDefault="00000000" w:rsidRPr="00000000" w14:paraId="00000019">
          <w:pPr>
            <w:tabs>
              <w:tab w:val="right" w:pos="9360"/>
            </w:tabs>
            <w:spacing w:before="200" w:line="240" w:lineRule="auto"/>
            <w:ind w:left="0" w:firstLine="0"/>
            <w:rPr>
              <w:b w:val="1"/>
            </w:rPr>
          </w:pPr>
          <w:r w:rsidDel="00000000" w:rsidR="00000000" w:rsidRPr="00000000">
            <w:rPr>
              <w:b w:val="1"/>
              <w:rtl w:val="0"/>
            </w:rPr>
            <w:t xml:space="preserve">      </w:t>
          </w:r>
          <w:r w:rsidDel="00000000" w:rsidR="00000000" w:rsidRPr="00000000">
            <w:rPr>
              <w:rtl w:val="0"/>
            </w:rPr>
            <w:t xml:space="preserve">Significant Variables………………………………………………………………………………....</w:t>
          </w:r>
          <w:r w:rsidDel="00000000" w:rsidR="00000000" w:rsidRPr="00000000">
            <w:rPr>
              <w:b w:val="1"/>
              <w:rtl w:val="0"/>
            </w:rPr>
            <w:t xml:space="preserve">2</w:t>
          </w:r>
        </w:p>
        <w:p w:rsidR="00000000" w:rsidDel="00000000" w:rsidP="00000000" w:rsidRDefault="00000000" w:rsidRPr="00000000" w14:paraId="0000001A">
          <w:pPr>
            <w:tabs>
              <w:tab w:val="right" w:pos="9360"/>
            </w:tabs>
            <w:spacing w:before="200" w:line="240" w:lineRule="auto"/>
            <w:ind w:left="0" w:firstLine="0"/>
            <w:rPr>
              <w:b w:val="1"/>
            </w:rPr>
          </w:pPr>
          <w:r w:rsidDel="00000000" w:rsidR="00000000" w:rsidRPr="00000000">
            <w:rPr>
              <w:rtl w:val="0"/>
            </w:rPr>
            <w:t xml:space="preserve">      Odds Ratios…………………………………………………………………………………………..</w:t>
          </w:r>
          <w:r w:rsidDel="00000000" w:rsidR="00000000" w:rsidRPr="00000000">
            <w:rPr>
              <w:b w:val="1"/>
              <w:rtl w:val="0"/>
            </w:rPr>
            <w:t xml:space="preserve">4</w:t>
          </w:r>
        </w:p>
        <w:p w:rsidR="00000000" w:rsidDel="00000000" w:rsidP="00000000" w:rsidRDefault="00000000" w:rsidRPr="00000000" w14:paraId="0000001B">
          <w:pPr>
            <w:tabs>
              <w:tab w:val="right" w:pos="9360"/>
            </w:tabs>
            <w:spacing w:before="200" w:line="240" w:lineRule="auto"/>
            <w:ind w:left="360" w:firstLine="0"/>
            <w:rPr>
              <w:b w:val="1"/>
            </w:rPr>
          </w:pPr>
          <w:r w:rsidDel="00000000" w:rsidR="00000000" w:rsidRPr="00000000">
            <w:rPr>
              <w:rtl w:val="0"/>
            </w:rPr>
            <w:t xml:space="preserve">Linearity Assumption………………………………………………………………………………...</w:t>
          </w:r>
          <w:r w:rsidDel="00000000" w:rsidR="00000000" w:rsidRPr="00000000">
            <w:rPr>
              <w:b w:val="1"/>
              <w:rtl w:val="0"/>
            </w:rPr>
            <w:t xml:space="preserve">4</w:t>
          </w:r>
        </w:p>
        <w:p w:rsidR="00000000" w:rsidDel="00000000" w:rsidP="00000000" w:rsidRDefault="00000000" w:rsidRPr="00000000" w14:paraId="0000001C">
          <w:pPr>
            <w:tabs>
              <w:tab w:val="right" w:pos="9360"/>
            </w:tabs>
            <w:spacing w:before="200" w:line="240" w:lineRule="auto"/>
            <w:ind w:left="360" w:firstLine="0"/>
            <w:rPr>
              <w:b w:val="1"/>
            </w:rPr>
          </w:pPr>
          <w:r w:rsidDel="00000000" w:rsidR="00000000" w:rsidRPr="00000000">
            <w:rPr>
              <w:rtl w:val="0"/>
            </w:rPr>
            <w:t xml:space="preserve">Data Considerations………………………………………………………………………………....</w:t>
          </w:r>
          <w:r w:rsidDel="00000000" w:rsidR="00000000" w:rsidRPr="00000000">
            <w:rPr>
              <w:b w:val="1"/>
              <w:rtl w:val="0"/>
            </w:rPr>
            <w:t xml:space="preserve">4</w:t>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umcj18p01y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yi1k68qg4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b w:val="1"/>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40" w:before="400" w:line="276" w:lineRule="auto"/>
        <w:rPr>
          <w:b w:val="1"/>
          <w:sz w:val="23"/>
          <w:szCs w:val="23"/>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40" w:before="400" w:line="240" w:lineRule="auto"/>
        <w:rPr>
          <w:b w:val="1"/>
          <w:sz w:val="23"/>
          <w:szCs w:val="23"/>
        </w:rPr>
      </w:pP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40" w:before="400" w:line="240" w:lineRule="auto"/>
        <w:rPr>
          <w:b w:val="1"/>
          <w:smallCaps w:val="1"/>
          <w:color w:val="000000"/>
          <w:sz w:val="36"/>
          <w:szCs w:val="36"/>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7">
      <w:pPr>
        <w:pStyle w:val="Title"/>
        <w:spacing w:after="0" w:before="0" w:line="216" w:lineRule="auto"/>
        <w:rPr>
          <w:rFonts w:ascii="Calibri" w:cs="Calibri" w:eastAsia="Calibri" w:hAnsi="Calibri"/>
          <w:b w:val="1"/>
        </w:rPr>
      </w:pPr>
      <w:bookmarkStart w:colFirst="0" w:colLast="0" w:name="_heading=h.n3y4ccd98ph3" w:id="5"/>
      <w:bookmarkEnd w:id="5"/>
      <w:r w:rsidDel="00000000" w:rsidR="00000000" w:rsidRPr="00000000">
        <w:rPr>
          <w:rFonts w:ascii="Calibri" w:cs="Calibri" w:eastAsia="Calibri" w:hAnsi="Calibri"/>
          <w:b w:val="1"/>
          <w:rtl w:val="0"/>
        </w:rPr>
        <w:t xml:space="preserve">Annuity Product Analysis: Phase 1</w:t>
      </w:r>
    </w:p>
    <w:p w:rsidR="00000000" w:rsidDel="00000000" w:rsidP="00000000" w:rsidRDefault="00000000" w:rsidRPr="00000000" w14:paraId="00000028">
      <w:pPr>
        <w:pStyle w:val="Heading1"/>
        <w:spacing w:after="0" w:before="0" w:line="216" w:lineRule="auto"/>
        <w:rPr>
          <w:rFonts w:ascii="Arial" w:cs="Arial" w:eastAsia="Arial" w:hAnsi="Arial"/>
          <w:b w:val="1"/>
        </w:rPr>
      </w:pPr>
      <w:bookmarkStart w:colFirst="0" w:colLast="0" w:name="_heading=h.e1zakx2idzk" w:id="6"/>
      <w:bookmarkEnd w:id="6"/>
      <w:r w:rsidDel="00000000" w:rsidR="00000000" w:rsidRPr="00000000">
        <w:rPr>
          <w:rFonts w:ascii="Arial" w:cs="Arial" w:eastAsia="Arial" w:hAnsi="Arial"/>
          <w:b w:val="1"/>
          <w:rtl w:val="0"/>
        </w:rPr>
        <w:t xml:space="preserve">Overview</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We have been tasked with predicting which customers will buy a variable rate annuity product from the Commercial Banking Corporation (referred to as the “Bank”). For the purpose of this report, we are primarily focusing on identifying which variables had a significant impact on variable rate annuity purchase decisions. We established the following takeaways:</w:t>
      </w:r>
    </w:p>
    <w:p w:rsidR="00000000" w:rsidDel="00000000" w:rsidP="00000000" w:rsidRDefault="00000000" w:rsidRPr="00000000" w14:paraId="0000002A">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We identified 13 variables of concern that had over 1000 missing values.</w:t>
      </w:r>
    </w:p>
    <w:p w:rsidR="00000000" w:rsidDel="00000000" w:rsidP="00000000" w:rsidRDefault="00000000" w:rsidRPr="00000000" w14:paraId="0000002B">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Twenty-eight predictor variables were significantly related to the purchase of the variable rate annuity product.</w:t>
      </w:r>
    </w:p>
    <w:p w:rsidR="00000000" w:rsidDel="00000000" w:rsidP="00000000" w:rsidRDefault="00000000" w:rsidRPr="00000000" w14:paraId="0000002C">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The indicator variable for investment </w:t>
      </w:r>
      <w:r w:rsidDel="00000000" w:rsidR="00000000" w:rsidRPr="00000000">
        <w:rPr>
          <w:rFonts w:ascii="Calibri" w:cs="Calibri" w:eastAsia="Calibri" w:hAnsi="Calibri"/>
          <w:rtl w:val="0"/>
        </w:rPr>
        <w:t xml:space="preserve">account</w:t>
      </w:r>
      <w:r w:rsidDel="00000000" w:rsidR="00000000" w:rsidRPr="00000000">
        <w:rPr>
          <w:rFonts w:ascii="Calibri" w:cs="Calibri" w:eastAsia="Calibri" w:hAnsi="Calibri"/>
          <w:rtl w:val="0"/>
        </w:rPr>
        <w:t xml:space="preserve"> had the highest odds ratio (3.472) of all binary predictors.</w:t>
      </w:r>
    </w:p>
    <w:p w:rsidR="00000000" w:rsidDel="00000000" w:rsidP="00000000" w:rsidRDefault="00000000" w:rsidRPr="00000000" w14:paraId="0000002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Ten of the continuous variables met the assumption for linearity.</w:t>
      </w:r>
      <w:r w:rsidDel="00000000" w:rsidR="00000000" w:rsidRPr="00000000">
        <w:rPr>
          <w:rtl w:val="0"/>
        </w:rPr>
      </w:r>
    </w:p>
    <w:p w:rsidR="00000000" w:rsidDel="00000000" w:rsidP="00000000" w:rsidRDefault="00000000" w:rsidRPr="00000000" w14:paraId="0000002E">
      <w:pPr>
        <w:pStyle w:val="Heading1"/>
        <w:rPr>
          <w:rFonts w:ascii="Arial" w:cs="Arial" w:eastAsia="Arial" w:hAnsi="Arial"/>
          <w:b w:val="1"/>
        </w:rPr>
      </w:pPr>
      <w:bookmarkStart w:colFirst="0" w:colLast="0" w:name="_heading=h.la6peraii8re" w:id="7"/>
      <w:bookmarkEnd w:id="7"/>
      <w:r w:rsidDel="00000000" w:rsidR="00000000" w:rsidRPr="00000000">
        <w:rPr>
          <w:rFonts w:ascii="Arial" w:cs="Arial" w:eastAsia="Arial" w:hAnsi="Arial"/>
          <w:b w:val="1"/>
          <w:rtl w:val="0"/>
        </w:rPr>
        <w:t xml:space="preserve">Methodology and Analysis</w:t>
      </w:r>
    </w:p>
    <w:p w:rsidR="00000000" w:rsidDel="00000000" w:rsidP="00000000" w:rsidRDefault="00000000" w:rsidRPr="00000000" w14:paraId="0000002F">
      <w:pPr>
        <w:pStyle w:val="Heading2"/>
        <w:rPr>
          <w:rFonts w:ascii="Arial" w:cs="Arial" w:eastAsia="Arial" w:hAnsi="Arial"/>
          <w:b w:val="1"/>
          <w:i w:val="1"/>
        </w:rPr>
      </w:pPr>
      <w:bookmarkStart w:colFirst="0" w:colLast="0" w:name="_heading=h.xg53hvut1rdu" w:id="8"/>
      <w:bookmarkEnd w:id="8"/>
      <w:r w:rsidDel="00000000" w:rsidR="00000000" w:rsidRPr="00000000">
        <w:rPr>
          <w:rFonts w:ascii="Arial" w:cs="Arial" w:eastAsia="Arial" w:hAnsi="Arial"/>
          <w:i w:val="1"/>
          <w:rtl w:val="0"/>
        </w:rPr>
        <w:t xml:space="preserve">Data Used</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data contained demographic information for customers of the Bank. We used the training data set containing 8,495 observations of 47 predictor variables. The data were checked for missing values to preclude any potential problems with the analysis. The variables with over 1000 missing values are shown below in Figure 1.</w:t>
      </w:r>
    </w:p>
    <w:p w:rsidR="00000000" w:rsidDel="00000000" w:rsidP="00000000" w:rsidRDefault="00000000" w:rsidRPr="00000000" w14:paraId="00000031">
      <w:pPr>
        <w:spacing w:line="240" w:lineRule="auto"/>
        <w:jc w:val="center"/>
        <w:rPr/>
      </w:pPr>
      <w:r w:rsidDel="00000000" w:rsidR="00000000" w:rsidRPr="00000000">
        <w:rPr>
          <w:rFonts w:ascii="Twentieth Century" w:cs="Twentieth Century" w:eastAsia="Twentieth Century" w:hAnsi="Twentieth Century"/>
        </w:rPr>
        <w:drawing>
          <wp:inline distB="0" distT="0" distL="0" distR="0">
            <wp:extent cx="4553963" cy="2786063"/>
            <wp:effectExtent b="0" l="0" r="0" t="0"/>
            <wp:docPr descr="Chart&#10;&#10;Description automatically generated" id="13" name="image3.png"/>
            <a:graphic>
              <a:graphicData uri="http://schemas.openxmlformats.org/drawingml/2006/picture">
                <pic:pic>
                  <pic:nvPicPr>
                    <pic:cNvPr descr="Chart&#10;&#10;Description automatically generated" id="0" name="image3.png"/>
                    <pic:cNvPicPr preferRelativeResize="0"/>
                  </pic:nvPicPr>
                  <pic:blipFill>
                    <a:blip r:embed="rId13"/>
                    <a:srcRect b="458" l="0" r="0" t="458"/>
                    <a:stretch>
                      <a:fillRect/>
                    </a:stretch>
                  </pic:blipFill>
                  <pic:spPr>
                    <a:xfrm>
                      <a:off x="0" y="0"/>
                      <a:ext cx="4553963"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Figure 1: A bar graph showing the 13 variables with a high number (&gt; 1000) of missing values</w:t>
      </w:r>
      <w:r w:rsidDel="00000000" w:rsidR="00000000" w:rsidRPr="00000000">
        <w:rPr>
          <w:rtl w:val="0"/>
        </w:rPr>
      </w:r>
    </w:p>
    <w:p w:rsidR="00000000" w:rsidDel="00000000" w:rsidP="00000000" w:rsidRDefault="00000000" w:rsidRPr="00000000" w14:paraId="00000033">
      <w:pPr>
        <w:pStyle w:val="Heading2"/>
        <w:rPr>
          <w:rFonts w:ascii="Arial" w:cs="Arial" w:eastAsia="Arial" w:hAnsi="Arial"/>
          <w:i w:val="1"/>
        </w:rPr>
      </w:pPr>
      <w:bookmarkStart w:colFirst="0" w:colLast="0" w:name="_heading=h.9inu0a981ztu" w:id="9"/>
      <w:bookmarkEnd w:id="9"/>
      <w:r w:rsidDel="00000000" w:rsidR="00000000" w:rsidRPr="00000000">
        <w:rPr>
          <w:rFonts w:ascii="Arial" w:cs="Arial" w:eastAsia="Arial" w:hAnsi="Arial"/>
          <w:i w:val="1"/>
          <w:rtl w:val="0"/>
        </w:rPr>
        <w:t xml:space="preserve">Determining Variable Significance</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The variables were first typified as Continuous, Nominal, Ordinal, or Binary. The continuous variables were then evaluated for significance by building individual logistic regression models containing the continuous variable of interest as the only predictor. The ordinal and binary variables were evaluated using the Mantel-Haenszel Chi-Square test of association, and the nominal variables were evaluated with the Pearson Chi-Square test. Each test was used with a significance level of 0.0008 based on the recommendations of Adrian Raftery for datasets of comparable size (Raftery, 1995).</w:t>
      </w:r>
    </w:p>
    <w:p w:rsidR="00000000" w:rsidDel="00000000" w:rsidP="00000000" w:rsidRDefault="00000000" w:rsidRPr="00000000" w14:paraId="00000035">
      <w:pPr>
        <w:pStyle w:val="Heading2"/>
        <w:rPr>
          <w:i w:val="1"/>
        </w:rPr>
      </w:pPr>
      <w:bookmarkStart w:colFirst="0" w:colLast="0" w:name="_heading=h.hdcbk5mva7q3" w:id="10"/>
      <w:bookmarkEnd w:id="10"/>
      <w:r w:rsidDel="00000000" w:rsidR="00000000" w:rsidRPr="00000000">
        <w:rPr>
          <w:i w:val="1"/>
          <w:rtl w:val="0"/>
        </w:rPr>
        <w:t xml:space="preserve">Odds Ratios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Below, Table 1 contains all of the Odds ratios we calculated for the binary variables in order to quantify their impact. The table was then sorted by magnitude of the odds ratios. The highest odds ratio is interpreted in results. The (i) next to a variable indicates that that variable is an indicator variable</w:t>
      </w:r>
      <w:r w:rsidDel="00000000" w:rsidR="00000000" w:rsidRPr="00000000">
        <w:rPr>
          <w:rtl w:val="0"/>
        </w:rPr>
      </w:r>
    </w:p>
    <w:p w:rsidR="00000000" w:rsidDel="00000000" w:rsidP="00000000" w:rsidRDefault="00000000" w:rsidRPr="00000000" w14:paraId="00000037">
      <w:pPr>
        <w:spacing w:line="240" w:lineRule="auto"/>
        <w:ind w:left="1440" w:firstLine="720"/>
        <w:rPr>
          <w:b w:val="1"/>
          <w:sz w:val="18"/>
          <w:szCs w:val="18"/>
        </w:rPr>
      </w:pPr>
      <w:r w:rsidDel="00000000" w:rsidR="00000000" w:rsidRPr="00000000">
        <w:rPr>
          <w:b w:val="1"/>
          <w:sz w:val="18"/>
          <w:szCs w:val="18"/>
          <w:rtl w:val="0"/>
        </w:rPr>
        <w:t xml:space="preserve">Table 1: Sorted Odds Ratios for Binary Predictors</w:t>
      </w:r>
    </w:p>
    <w:tbl>
      <w:tblPr>
        <w:tblStyle w:val="Table2"/>
        <w:tblW w:w="567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220"/>
        <w:tblGridChange w:id="0">
          <w:tblGrid>
            <w:gridCol w:w="3450"/>
            <w:gridCol w:w="2220"/>
          </w:tblGrid>
        </w:tblGridChange>
      </w:tblGrid>
      <w:tr>
        <w:trPr>
          <w:cantSplit w:val="0"/>
          <w:trHeight w:val="570" w:hRule="atLeast"/>
          <w:tblHeader w:val="0"/>
        </w:trPr>
        <w:tc>
          <w:tcPr>
            <w:tcBorders>
              <w:top w:color="94b6d2" w:space="0" w:sz="8" w:val="single"/>
              <w:left w:color="94b6d2" w:space="0" w:sz="8" w:val="single"/>
              <w:bottom w:color="94b6d2" w:space="0" w:sz="8" w:val="single"/>
              <w:right w:color="000000" w:space="0" w:sz="0" w:val="nil"/>
            </w:tcBorders>
            <w:shd w:fill="94b6d2" w:val="clear"/>
            <w:tcMar>
              <w:top w:w="0.0" w:type="dxa"/>
              <w:left w:w="0.0" w:type="dxa"/>
              <w:bottom w:w="0.0" w:type="dxa"/>
              <w:right w:w="0.0" w:type="dxa"/>
            </w:tcMar>
            <w:vAlign w:val="top"/>
          </w:tcPr>
          <w:p w:rsidR="00000000" w:rsidDel="00000000" w:rsidP="00000000" w:rsidRDefault="00000000" w:rsidRPr="00000000" w14:paraId="00000038">
            <w:pPr>
              <w:spacing w:after="0" w:before="120" w:lineRule="auto"/>
              <w:rPr>
                <w:b w:val="1"/>
                <w:color w:val="ffffff"/>
                <w:sz w:val="20"/>
                <w:szCs w:val="20"/>
              </w:rPr>
            </w:pPr>
            <w:r w:rsidDel="00000000" w:rsidR="00000000" w:rsidRPr="00000000">
              <w:rPr>
                <w:b w:val="1"/>
                <w:color w:val="ffffff"/>
                <w:sz w:val="20"/>
                <w:szCs w:val="20"/>
                <w:rtl w:val="0"/>
              </w:rPr>
              <w:t xml:space="preserve">Variable Name</w:t>
            </w:r>
          </w:p>
        </w:tc>
        <w:tc>
          <w:tcPr>
            <w:tcBorders>
              <w:top w:color="94b6d2" w:space="0" w:sz="8" w:val="single"/>
              <w:left w:color="000000" w:space="0" w:sz="0" w:val="nil"/>
              <w:bottom w:color="94b6d2" w:space="0" w:sz="8" w:val="single"/>
              <w:right w:color="000000" w:space="0" w:sz="0" w:val="nil"/>
            </w:tcBorders>
            <w:shd w:fill="94b6d2" w:val="clear"/>
            <w:tcMar>
              <w:top w:w="0.0" w:type="dxa"/>
              <w:left w:w="0.0" w:type="dxa"/>
              <w:bottom w:w="0.0" w:type="dxa"/>
              <w:right w:w="0.0" w:type="dxa"/>
            </w:tcMar>
            <w:vAlign w:val="top"/>
          </w:tcPr>
          <w:p w:rsidR="00000000" w:rsidDel="00000000" w:rsidP="00000000" w:rsidRDefault="00000000" w:rsidRPr="00000000" w14:paraId="00000039">
            <w:pPr>
              <w:spacing w:after="0" w:before="120" w:lineRule="auto"/>
              <w:jc w:val="center"/>
              <w:rPr>
                <w:b w:val="1"/>
                <w:color w:val="ffffff"/>
                <w:sz w:val="20"/>
                <w:szCs w:val="20"/>
              </w:rPr>
            </w:pPr>
            <w:r w:rsidDel="00000000" w:rsidR="00000000" w:rsidRPr="00000000">
              <w:rPr>
                <w:b w:val="1"/>
                <w:color w:val="ffffff"/>
                <w:sz w:val="20"/>
                <w:szCs w:val="20"/>
                <w:rtl w:val="0"/>
              </w:rPr>
              <w:t xml:space="preserve">Odds Ratio</w:t>
            </w:r>
          </w:p>
        </w:tc>
      </w:tr>
      <w:tr>
        <w:trPr>
          <w:cantSplit w:val="0"/>
          <w:trHeight w:val="390" w:hRule="atLeast"/>
          <w:tblHeader w:val="0"/>
        </w:trPr>
        <w:tc>
          <w:tcPr>
            <w:tcBorders>
              <w:top w:color="000000" w:space="0" w:sz="0" w:val="nil"/>
              <w:left w:color="bed3e3" w:space="0" w:sz="8" w:val="single"/>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3A">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Investment Account (i)</w:t>
            </w:r>
          </w:p>
        </w:tc>
        <w:tc>
          <w:tcPr>
            <w:tcBorders>
              <w:top w:color="000000" w:space="0" w:sz="0" w:val="nil"/>
              <w:left w:color="000000" w:space="0" w:sz="0" w:val="nil"/>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3B">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3.472</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3C">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of Deposit Account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3D">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3.427</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3E">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Retirement Account (i)</w:t>
            </w:r>
          </w:p>
        </w:tc>
        <w:tc>
          <w:tcPr>
            <w:tcBorders>
              <w:top w:color="000000" w:space="0" w:sz="0" w:val="nil"/>
              <w:left w:color="000000" w:space="0" w:sz="0" w:val="nil"/>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3F">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3.185</w:t>
            </w:r>
          </w:p>
        </w:tc>
      </w:tr>
      <w:tr>
        <w:trPr>
          <w:cantSplit w:val="0"/>
          <w:trHeight w:val="405"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0">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Money Market Account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1">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2.850</w:t>
            </w:r>
          </w:p>
        </w:tc>
      </w:tr>
      <w:tr>
        <w:trPr>
          <w:cantSplit w:val="0"/>
          <w:trHeight w:val="405" w:hRule="atLeast"/>
          <w:tblHeader w:val="0"/>
        </w:trPr>
        <w:tc>
          <w:tcPr>
            <w:tcBorders>
              <w:top w:color="000000" w:space="0" w:sz="0" w:val="nil"/>
              <w:left w:color="bed3e3" w:space="0" w:sz="8" w:val="single"/>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42">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Savings Account (i)</w:t>
            </w:r>
          </w:p>
        </w:tc>
        <w:tc>
          <w:tcPr>
            <w:tcBorders>
              <w:top w:color="000000" w:space="0" w:sz="0" w:val="nil"/>
              <w:left w:color="000000" w:space="0" w:sz="0" w:val="nil"/>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43">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1.831</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4">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Card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5">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1.781</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46">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deposit box (i)</w:t>
            </w:r>
          </w:p>
        </w:tc>
        <w:tc>
          <w:tcPr>
            <w:tcBorders>
              <w:top w:color="000000" w:space="0" w:sz="0" w:val="nil"/>
              <w:left w:color="000000" w:space="0" w:sz="0" w:val="nil"/>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47">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1.550</w:t>
            </w:r>
          </w:p>
        </w:tc>
      </w:tr>
      <w:tr>
        <w:trPr>
          <w:cantSplit w:val="0"/>
          <w:trHeight w:val="390"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8">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Mortgage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9">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1.069</w:t>
            </w:r>
          </w:p>
        </w:tc>
      </w:tr>
      <w:tr>
        <w:trPr>
          <w:cantSplit w:val="0"/>
          <w:trHeight w:val="405"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4A">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 of credit (i)</w:t>
            </w:r>
          </w:p>
        </w:tc>
        <w:tc>
          <w:tcPr>
            <w:tcBorders>
              <w:top w:color="000000" w:space="0" w:sz="0" w:val="nil"/>
              <w:left w:color="000000" w:space="0" w:sz="0" w:val="nil"/>
              <w:bottom w:color="bed3e3" w:space="0" w:sz="8" w:val="single"/>
              <w:right w:color="bed3e3" w:space="0" w:sz="8" w:val="single"/>
            </w:tcBorders>
            <w:tcMar>
              <w:top w:w="0.0" w:type="dxa"/>
              <w:left w:w="0.0" w:type="dxa"/>
              <w:bottom w:w="0.0" w:type="dxa"/>
              <w:right w:w="0.0" w:type="dxa"/>
            </w:tcMar>
            <w:vAlign w:val="top"/>
          </w:tcPr>
          <w:p w:rsidR="00000000" w:rsidDel="00000000" w:rsidP="00000000" w:rsidRDefault="00000000" w:rsidRPr="00000000" w14:paraId="0000004B">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1.065</w:t>
            </w:r>
          </w:p>
        </w:tc>
      </w:tr>
      <w:tr>
        <w:trPr>
          <w:cantSplit w:val="0"/>
          <w:trHeight w:val="405"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C">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ownership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4D">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1.005</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4E">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Recent address change (i)</w:t>
            </w:r>
          </w:p>
        </w:tc>
        <w:tc>
          <w:tcPr>
            <w:tcBorders>
              <w:top w:color="000000" w:space="0" w:sz="0" w:val="nil"/>
              <w:left w:color="000000" w:space="0" w:sz="0" w:val="nil"/>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4F">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0.840</w:t>
            </w:r>
          </w:p>
        </w:tc>
      </w:tr>
      <w:tr>
        <w:trPr>
          <w:cantSplit w:val="0"/>
          <w:trHeight w:val="390"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0">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Installment loan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1">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0.745</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2">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 deposit (i)</w:t>
            </w:r>
          </w:p>
        </w:tc>
        <w:tc>
          <w:tcPr>
            <w:tcBorders>
              <w:top w:color="000000" w:space="0" w:sz="0" w:val="nil"/>
              <w:left w:color="000000" w:space="0" w:sz="0" w:val="nil"/>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3">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0.712</w:t>
            </w:r>
          </w:p>
        </w:tc>
      </w:tr>
      <w:tr>
        <w:trPr>
          <w:cantSplit w:val="0"/>
          <w:trHeight w:val="390"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4">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ATM interaction (i)</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5">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0.593</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6">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 address (i)</w:t>
            </w:r>
          </w:p>
        </w:tc>
        <w:tc>
          <w:tcPr>
            <w:tcBorders>
              <w:top w:color="000000" w:space="0" w:sz="0" w:val="nil"/>
              <w:left w:color="000000" w:space="0" w:sz="0" w:val="nil"/>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7">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0.575</w:t>
            </w:r>
          </w:p>
        </w:tc>
      </w:tr>
      <w:tr>
        <w:trPr>
          <w:cantSplit w:val="0"/>
          <w:trHeight w:val="375" w:hRule="atLeast"/>
          <w:tblHeader w:val="0"/>
        </w:trPr>
        <w:tc>
          <w:tcPr>
            <w:tcBorders>
              <w:top w:color="000000" w:space="0" w:sz="0" w:val="nil"/>
              <w:left w:color="bed3e3" w:space="0" w:sz="8" w:val="single"/>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8">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insufficient fund issues</w:t>
            </w:r>
          </w:p>
        </w:tc>
        <w:tc>
          <w:tcPr>
            <w:tcBorders>
              <w:top w:color="000000" w:space="0" w:sz="0" w:val="nil"/>
              <w:left w:color="000000" w:space="0" w:sz="0" w:val="nil"/>
              <w:bottom w:color="bed3e3" w:space="0" w:sz="8" w:val="single"/>
              <w:right w:color="bed3e3" w:space="0" w:sz="8" w:val="single"/>
            </w:tcBorders>
            <w:shd w:fill="e9f0f6" w:val="clear"/>
            <w:tcMar>
              <w:top w:w="0.0" w:type="dxa"/>
              <w:left w:w="0.0" w:type="dxa"/>
              <w:bottom w:w="0.0" w:type="dxa"/>
              <w:right w:w="0.0" w:type="dxa"/>
            </w:tcMar>
            <w:vAlign w:val="top"/>
          </w:tcPr>
          <w:p w:rsidR="00000000" w:rsidDel="00000000" w:rsidP="00000000" w:rsidRDefault="00000000" w:rsidRPr="00000000" w14:paraId="00000059">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0.555</w:t>
            </w:r>
          </w:p>
        </w:tc>
      </w:tr>
      <w:tr>
        <w:trPr>
          <w:cantSplit w:val="0"/>
          <w:trHeight w:val="390" w:hRule="atLeast"/>
          <w:tblHeader w:val="0"/>
        </w:trPr>
        <w:tc>
          <w:tcPr>
            <w:tcBorders>
              <w:top w:color="000000" w:space="0" w:sz="0" w:val="nil"/>
              <w:left w:color="bed3e3" w:space="0" w:sz="8" w:val="single"/>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A">
            <w:pPr>
              <w:spacing w:after="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Checking account (i)</w:t>
            </w:r>
          </w:p>
        </w:tc>
        <w:tc>
          <w:tcPr>
            <w:tcBorders>
              <w:top w:color="000000" w:space="0" w:sz="0" w:val="nil"/>
              <w:left w:color="000000" w:space="0" w:sz="0" w:val="nil"/>
              <w:bottom w:color="bed3e3" w:space="0" w:sz="8" w:val="single"/>
              <w:right w:color="bed3e3"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5B">
            <w:pPr>
              <w:spacing w:after="0" w:before="12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0.375</w:t>
            </w:r>
          </w:p>
        </w:tc>
      </w:tr>
    </w:tbl>
    <w:p w:rsidR="00000000" w:rsidDel="00000000" w:rsidP="00000000" w:rsidRDefault="00000000" w:rsidRPr="00000000" w14:paraId="0000005C">
      <w:pPr>
        <w:pStyle w:val="Heading1"/>
        <w:spacing w:before="0" w:lineRule="auto"/>
        <w:rPr>
          <w:rFonts w:ascii="Arial" w:cs="Arial" w:eastAsia="Arial" w:hAnsi="Arial"/>
        </w:rPr>
      </w:pPr>
      <w:bookmarkStart w:colFirst="0" w:colLast="0" w:name="_heading=h.w9t3vktuhyd" w:id="11"/>
      <w:bookmarkEnd w:id="11"/>
      <w:r w:rsidDel="00000000" w:rsidR="00000000" w:rsidRPr="00000000">
        <w:rPr>
          <w:rFonts w:ascii="Arial" w:cs="Arial" w:eastAsia="Arial" w:hAnsi="Arial"/>
          <w:b w:val="1"/>
          <w:sz w:val="36"/>
          <w:szCs w:val="36"/>
          <w:rtl w:val="0"/>
        </w:rPr>
        <w:t xml:space="preserve">Results</w:t>
      </w:r>
      <w:r w:rsidDel="00000000" w:rsidR="00000000" w:rsidRPr="00000000">
        <w:rPr>
          <w:rtl w:val="0"/>
        </w:rPr>
      </w:r>
    </w:p>
    <w:p w:rsidR="00000000" w:rsidDel="00000000" w:rsidP="00000000" w:rsidRDefault="00000000" w:rsidRPr="00000000" w14:paraId="0000005D">
      <w:pPr>
        <w:pStyle w:val="Heading2"/>
        <w:spacing w:before="200" w:lineRule="auto"/>
        <w:rPr>
          <w:rFonts w:ascii="Arial" w:cs="Arial" w:eastAsia="Arial" w:hAnsi="Arial"/>
        </w:rPr>
      </w:pPr>
      <w:bookmarkStart w:colFirst="0" w:colLast="0" w:name="_heading=h.hbenyhnbnt8n" w:id="12"/>
      <w:bookmarkEnd w:id="12"/>
      <w:r w:rsidDel="00000000" w:rsidR="00000000" w:rsidRPr="00000000">
        <w:rPr>
          <w:rFonts w:ascii="Arial" w:cs="Arial" w:eastAsia="Arial" w:hAnsi="Arial"/>
          <w:rtl w:val="0"/>
        </w:rPr>
        <w:t xml:space="preserve">Significant Variables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After we </w:t>
      </w:r>
      <w:r w:rsidDel="00000000" w:rsidR="00000000" w:rsidRPr="00000000">
        <w:rPr>
          <w:rFonts w:ascii="Calibri" w:cs="Calibri" w:eastAsia="Calibri" w:hAnsi="Calibri"/>
          <w:rtl w:val="0"/>
        </w:rPr>
        <w:t xml:space="preserve">completed association testing and preliminary modeling for each variable in the data set, we ranked the 28 significant variables (at the 0.0008 significance level) by decreasing level of significance and labeled them by class </w:t>
      </w:r>
      <w:r w:rsidDel="00000000" w:rsidR="00000000" w:rsidRPr="00000000">
        <w:rPr>
          <w:rFonts w:ascii="Calibri" w:cs="Calibri" w:eastAsia="Calibri" w:hAnsi="Calibri"/>
          <w:rtl w:val="0"/>
        </w:rPr>
        <w:t xml:space="preserve">(binary, ordinal, nominal, continuous)</w:t>
      </w:r>
      <w:r w:rsidDel="00000000" w:rsidR="00000000" w:rsidRPr="00000000">
        <w:rPr>
          <w:rFonts w:ascii="Calibri" w:cs="Calibri" w:eastAsia="Calibri" w:hAnsi="Calibri"/>
          <w:rtl w:val="0"/>
        </w:rPr>
        <w:t xml:space="preserve">. Table 2 includes the significant variables ranked by their p-value, the test used to ascertain significance, and whether or not the continuous variables met the assumption of linearity for logistic regression (see appendix B for full table).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1"/>
        <w:spacing w:line="252.00000000000003" w:lineRule="auto"/>
        <w:rPr>
          <w:b w:val="1"/>
          <w:sz w:val="18"/>
          <w:szCs w:val="18"/>
        </w:rPr>
      </w:pPr>
      <w:r w:rsidDel="00000000" w:rsidR="00000000" w:rsidRPr="00000000">
        <w:rPr>
          <w:b w:val="1"/>
          <w:sz w:val="18"/>
          <w:szCs w:val="18"/>
          <w:rtl w:val="0"/>
        </w:rPr>
        <w:t xml:space="preserve">Table 2: Significant Variables Ranked by p-value</w:t>
      </w:r>
    </w:p>
    <w:tbl>
      <w:tblPr>
        <w:tblStyle w:val="Table3"/>
        <w:tblW w:w="9495.0" w:type="dxa"/>
        <w:jc w:val="left"/>
        <w:tblInd w:w="-105.0" w:type="dxa"/>
        <w:tblBorders>
          <w:top w:color="bed3e3" w:space="0" w:sz="4" w:val="single"/>
          <w:left w:color="bed3e3" w:space="0" w:sz="4" w:val="single"/>
          <w:bottom w:color="bed3e3" w:space="0" w:sz="4" w:val="single"/>
          <w:right w:color="bed3e3" w:space="0" w:sz="4" w:val="single"/>
          <w:insideH w:color="bed3e3" w:space="0" w:sz="4" w:val="single"/>
          <w:insideV w:color="bed3e3" w:space="0" w:sz="4" w:val="single"/>
        </w:tblBorders>
        <w:tblLayout w:type="fixed"/>
        <w:tblLook w:val="04A0"/>
      </w:tblPr>
      <w:tblGrid>
        <w:gridCol w:w="3315"/>
        <w:gridCol w:w="1395"/>
        <w:gridCol w:w="1290"/>
        <w:gridCol w:w="1890"/>
        <w:gridCol w:w="1605"/>
        <w:tblGridChange w:id="0">
          <w:tblGrid>
            <w:gridCol w:w="3315"/>
            <w:gridCol w:w="1395"/>
            <w:gridCol w:w="1290"/>
            <w:gridCol w:w="1890"/>
            <w:gridCol w:w="1605"/>
          </w:tblGrid>
        </w:tblGridChange>
      </w:tblGrid>
      <w:tr>
        <w:trPr>
          <w:cantSplit w:val="0"/>
          <w:trHeight w:val="20" w:hRule="atLeast"/>
          <w:tblHeader w:val="0"/>
        </w:trPr>
        <w:tc>
          <w:tcPr/>
          <w:p w:rsidR="00000000" w:rsidDel="00000000" w:rsidP="00000000" w:rsidRDefault="00000000" w:rsidRPr="00000000" w14:paraId="00000061">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Variable Description</w:t>
            </w:r>
          </w:p>
        </w:tc>
        <w:tc>
          <w:tcPr/>
          <w:p w:rsidR="00000000" w:rsidDel="00000000" w:rsidP="00000000" w:rsidRDefault="00000000" w:rsidRPr="00000000" w14:paraId="00000062">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P-Value </w:t>
            </w:r>
          </w:p>
        </w:tc>
        <w:tc>
          <w:tcPr/>
          <w:p w:rsidR="00000000" w:rsidDel="00000000" w:rsidP="00000000" w:rsidRDefault="00000000" w:rsidRPr="00000000" w14:paraId="00000063">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Class</w:t>
            </w:r>
          </w:p>
        </w:tc>
        <w:tc>
          <w:tcPr/>
          <w:p w:rsidR="00000000" w:rsidDel="00000000" w:rsidP="00000000" w:rsidRDefault="00000000" w:rsidRPr="00000000" w14:paraId="00000064">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Test</w:t>
            </w:r>
          </w:p>
        </w:tc>
        <w:tc>
          <w:tcPr/>
          <w:p w:rsidR="00000000" w:rsidDel="00000000" w:rsidP="00000000" w:rsidRDefault="00000000" w:rsidRPr="00000000" w14:paraId="00000065">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Linearity Assumption</w:t>
            </w:r>
          </w:p>
        </w:tc>
      </w:tr>
      <w:tr>
        <w:trPr>
          <w:cantSplit w:val="0"/>
          <w:trHeight w:val="360" w:hRule="atLeast"/>
          <w:tblHeader w:val="0"/>
        </w:trPr>
        <w:tc>
          <w:tcPr/>
          <w:p w:rsidR="00000000" w:rsidDel="00000000" w:rsidP="00000000" w:rsidRDefault="00000000" w:rsidRPr="00000000" w14:paraId="00000066">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Certificate of deposit indicator</w:t>
            </w:r>
          </w:p>
        </w:tc>
        <w:tc>
          <w:tcPr/>
          <w:p w:rsidR="00000000" w:rsidDel="00000000" w:rsidP="00000000" w:rsidRDefault="00000000" w:rsidRPr="00000000" w14:paraId="0000006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68">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69">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6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6B">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Checking account indicator</w:t>
            </w:r>
          </w:p>
        </w:tc>
        <w:tc>
          <w:tcPr/>
          <w:p w:rsidR="00000000" w:rsidDel="00000000" w:rsidP="00000000" w:rsidRDefault="00000000" w:rsidRPr="00000000" w14:paraId="0000006C">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6D">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6E">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6F">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70">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Money market account indicator</w:t>
            </w:r>
          </w:p>
        </w:tc>
        <w:tc>
          <w:tcPr/>
          <w:p w:rsidR="00000000" w:rsidDel="00000000" w:rsidP="00000000" w:rsidRDefault="00000000" w:rsidRPr="00000000" w14:paraId="00000071">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72">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73">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74">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75">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Money market account balance</w:t>
            </w:r>
          </w:p>
        </w:tc>
        <w:tc>
          <w:tcPr/>
          <w:p w:rsidR="00000000" w:rsidDel="00000000" w:rsidP="00000000" w:rsidRDefault="00000000" w:rsidRPr="00000000" w14:paraId="00000076">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7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78">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79">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7A">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Savings account indicator</w:t>
            </w:r>
          </w:p>
        </w:tc>
        <w:tc>
          <w:tcPr/>
          <w:p w:rsidR="00000000" w:rsidDel="00000000" w:rsidP="00000000" w:rsidRDefault="00000000" w:rsidRPr="00000000" w14:paraId="0000007B">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7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7D">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7E">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7F">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checking deposits</w:t>
            </w:r>
          </w:p>
        </w:tc>
        <w:tc>
          <w:tcPr/>
          <w:p w:rsidR="00000000" w:rsidDel="00000000" w:rsidP="00000000" w:rsidRDefault="00000000" w:rsidRPr="00000000" w14:paraId="00000080">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81">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82">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83">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84">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Retirement account indicator</w:t>
            </w:r>
          </w:p>
        </w:tc>
        <w:tc>
          <w:tcPr/>
          <w:p w:rsidR="00000000" w:rsidDel="00000000" w:rsidP="00000000" w:rsidRDefault="00000000" w:rsidRPr="00000000" w14:paraId="00000085">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86">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8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88">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89">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Certificate of deposit balance</w:t>
            </w:r>
          </w:p>
        </w:tc>
        <w:tc>
          <w:tcPr/>
          <w:p w:rsidR="00000000" w:rsidDel="00000000" w:rsidP="00000000" w:rsidRDefault="00000000" w:rsidRPr="00000000" w14:paraId="0000008A">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8B">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8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8D">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8E">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Credit card indicator</w:t>
            </w:r>
          </w:p>
        </w:tc>
        <w:tc>
          <w:tcPr/>
          <w:p w:rsidR="00000000" w:rsidDel="00000000" w:rsidP="00000000" w:rsidRDefault="00000000" w:rsidRPr="00000000" w14:paraId="0000008F">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90">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91">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92">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93">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ATM interaction indicator</w:t>
            </w:r>
          </w:p>
        </w:tc>
        <w:tc>
          <w:tcPr/>
          <w:p w:rsidR="00000000" w:rsidDel="00000000" w:rsidP="00000000" w:rsidRDefault="00000000" w:rsidRPr="00000000" w14:paraId="00000094">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95">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96">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97">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98">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Checking account balance</w:t>
            </w:r>
          </w:p>
        </w:tc>
        <w:tc>
          <w:tcPr/>
          <w:p w:rsidR="00000000" w:rsidDel="00000000" w:rsidP="00000000" w:rsidRDefault="00000000" w:rsidRPr="00000000" w14:paraId="00000099">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9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9B">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9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9D">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Investment account indicator</w:t>
            </w:r>
          </w:p>
        </w:tc>
        <w:tc>
          <w:tcPr/>
          <w:p w:rsidR="00000000" w:rsidDel="00000000" w:rsidP="00000000" w:rsidRDefault="00000000" w:rsidRPr="00000000" w14:paraId="0000009E">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9F">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A0">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A1">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A2">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telephone transactions</w:t>
            </w:r>
          </w:p>
        </w:tc>
        <w:tc>
          <w:tcPr/>
          <w:p w:rsidR="00000000" w:rsidDel="00000000" w:rsidP="00000000" w:rsidRDefault="00000000" w:rsidRPr="00000000" w14:paraId="000000A3">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A4">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A5">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A6">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A7">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money market credits</w:t>
            </w:r>
          </w:p>
        </w:tc>
        <w:tc>
          <w:tcPr/>
          <w:p w:rsidR="00000000" w:rsidDel="00000000" w:rsidP="00000000" w:rsidRDefault="00000000" w:rsidRPr="00000000" w14:paraId="000000A8">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A9">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Ordinal</w:t>
            </w:r>
          </w:p>
        </w:tc>
        <w:tc>
          <w:tcPr/>
          <w:p w:rsidR="00000000" w:rsidDel="00000000" w:rsidP="00000000" w:rsidRDefault="00000000" w:rsidRPr="00000000" w14:paraId="000000A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AB">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AC">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Branch of bank</w:t>
            </w:r>
          </w:p>
        </w:tc>
        <w:tc>
          <w:tcPr/>
          <w:p w:rsidR="00000000" w:rsidDel="00000000" w:rsidP="00000000" w:rsidRDefault="00000000" w:rsidRPr="00000000" w14:paraId="000000AD">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AE">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Nominal</w:t>
            </w:r>
          </w:p>
        </w:tc>
        <w:tc>
          <w:tcPr/>
          <w:p w:rsidR="00000000" w:rsidDel="00000000" w:rsidP="00000000" w:rsidRDefault="00000000" w:rsidRPr="00000000" w14:paraId="000000AF">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Chi Squared</w:t>
            </w:r>
          </w:p>
        </w:tc>
        <w:tc>
          <w:tcPr/>
          <w:p w:rsidR="00000000" w:rsidDel="00000000" w:rsidP="00000000" w:rsidRDefault="00000000" w:rsidRPr="00000000" w14:paraId="000000B0">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B1">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Value of home</w:t>
            </w:r>
          </w:p>
        </w:tc>
        <w:tc>
          <w:tcPr/>
          <w:p w:rsidR="00000000" w:rsidDel="00000000" w:rsidP="00000000" w:rsidRDefault="00000000" w:rsidRPr="00000000" w14:paraId="000000B2">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B3">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B4">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B5">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Met</w:t>
            </w:r>
          </w:p>
        </w:tc>
      </w:tr>
      <w:tr>
        <w:trPr>
          <w:cantSplit w:val="0"/>
          <w:trHeight w:val="20" w:hRule="atLeast"/>
          <w:tblHeader w:val="0"/>
        </w:trPr>
        <w:tc>
          <w:tcPr/>
          <w:p w:rsidR="00000000" w:rsidDel="00000000" w:rsidP="00000000" w:rsidRDefault="00000000" w:rsidRPr="00000000" w14:paraId="000000B6">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checks written</w:t>
            </w:r>
          </w:p>
        </w:tc>
        <w:tc>
          <w:tcPr/>
          <w:p w:rsidR="00000000" w:rsidDel="00000000" w:rsidP="00000000" w:rsidRDefault="00000000" w:rsidRPr="00000000" w14:paraId="000000B7">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B8">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B9">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B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BB">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IRA balance</w:t>
            </w:r>
          </w:p>
        </w:tc>
        <w:tc>
          <w:tcPr/>
          <w:p w:rsidR="00000000" w:rsidDel="00000000" w:rsidP="00000000" w:rsidRDefault="00000000" w:rsidRPr="00000000" w14:paraId="000000BC">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BD">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BE">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BF">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C0">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Direct deposit indicator</w:t>
            </w:r>
          </w:p>
        </w:tc>
        <w:tc>
          <w:tcPr/>
          <w:p w:rsidR="00000000" w:rsidDel="00000000" w:rsidP="00000000" w:rsidRDefault="00000000" w:rsidRPr="00000000" w14:paraId="000000C1">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C2">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C3">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C4">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390" w:hRule="atLeast"/>
          <w:tblHeader w:val="0"/>
        </w:trPr>
        <w:tc>
          <w:tcPr/>
          <w:p w:rsidR="00000000" w:rsidDel="00000000" w:rsidP="00000000" w:rsidRDefault="00000000" w:rsidRPr="00000000" w14:paraId="000000C5">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insufficient fund issues</w:t>
            </w:r>
          </w:p>
        </w:tc>
        <w:tc>
          <w:tcPr/>
          <w:p w:rsidR="00000000" w:rsidDel="00000000" w:rsidP="00000000" w:rsidRDefault="00000000" w:rsidRPr="00000000" w14:paraId="000000C6">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C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C8">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C9">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CA">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credit card purchases</w:t>
            </w:r>
          </w:p>
        </w:tc>
        <w:tc>
          <w:tcPr/>
          <w:p w:rsidR="00000000" w:rsidDel="00000000" w:rsidP="00000000" w:rsidRDefault="00000000" w:rsidRPr="00000000" w14:paraId="000000CB">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C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Ordinal</w:t>
            </w:r>
          </w:p>
        </w:tc>
        <w:tc>
          <w:tcPr/>
          <w:p w:rsidR="00000000" w:rsidDel="00000000" w:rsidP="00000000" w:rsidRDefault="00000000" w:rsidRPr="00000000" w14:paraId="000000CD">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CE">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CF">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Safety deposit box indicator</w:t>
            </w:r>
          </w:p>
        </w:tc>
        <w:tc>
          <w:tcPr/>
          <w:p w:rsidR="00000000" w:rsidDel="00000000" w:rsidP="00000000" w:rsidRDefault="00000000" w:rsidRPr="00000000" w14:paraId="000000D0">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D1">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D2">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D3">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D4">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Total ATM withdrawal amount</w:t>
            </w:r>
          </w:p>
        </w:tc>
        <w:tc>
          <w:tcPr/>
          <w:p w:rsidR="00000000" w:rsidDel="00000000" w:rsidP="00000000" w:rsidRDefault="00000000" w:rsidRPr="00000000" w14:paraId="000000D5">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&lt; 0.000001</w:t>
            </w:r>
          </w:p>
        </w:tc>
        <w:tc>
          <w:tcPr/>
          <w:p w:rsidR="00000000" w:rsidDel="00000000" w:rsidP="00000000" w:rsidRDefault="00000000" w:rsidRPr="00000000" w14:paraId="000000D6">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D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D8">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465" w:hRule="atLeast"/>
          <w:tblHeader w:val="0"/>
        </w:trPr>
        <w:tc>
          <w:tcPr/>
          <w:p w:rsidR="00000000" w:rsidDel="00000000" w:rsidP="00000000" w:rsidRDefault="00000000" w:rsidRPr="00000000" w14:paraId="000000D9">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point-of-sale transactions</w:t>
            </w:r>
          </w:p>
        </w:tc>
        <w:tc>
          <w:tcPr/>
          <w:p w:rsidR="00000000" w:rsidDel="00000000" w:rsidP="00000000" w:rsidRDefault="00000000" w:rsidRPr="00000000" w14:paraId="000000D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0.000001</w:t>
            </w:r>
          </w:p>
        </w:tc>
        <w:tc>
          <w:tcPr/>
          <w:p w:rsidR="00000000" w:rsidDel="00000000" w:rsidP="00000000" w:rsidRDefault="00000000" w:rsidRPr="00000000" w14:paraId="000000DB">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D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DD">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DE">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Local address indicator</w:t>
            </w:r>
          </w:p>
        </w:tc>
        <w:tc>
          <w:tcPr/>
          <w:p w:rsidR="00000000" w:rsidDel="00000000" w:rsidP="00000000" w:rsidRDefault="00000000" w:rsidRPr="00000000" w14:paraId="000000DF">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0.000001</w:t>
            </w:r>
          </w:p>
        </w:tc>
        <w:tc>
          <w:tcPr/>
          <w:p w:rsidR="00000000" w:rsidDel="00000000" w:rsidP="00000000" w:rsidRDefault="00000000" w:rsidRPr="00000000" w14:paraId="000000E0">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Binary</w:t>
            </w:r>
          </w:p>
        </w:tc>
        <w:tc>
          <w:tcPr/>
          <w:p w:rsidR="00000000" w:rsidDel="00000000" w:rsidP="00000000" w:rsidRDefault="00000000" w:rsidRPr="00000000" w14:paraId="000000E1">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E2">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r>
        <w:trPr>
          <w:cantSplit w:val="0"/>
          <w:trHeight w:val="20" w:hRule="atLeast"/>
          <w:tblHeader w:val="0"/>
        </w:trPr>
        <w:tc>
          <w:tcPr/>
          <w:p w:rsidR="00000000" w:rsidDel="00000000" w:rsidP="00000000" w:rsidRDefault="00000000" w:rsidRPr="00000000" w14:paraId="000000E3">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Amount of NSF</w:t>
            </w:r>
          </w:p>
        </w:tc>
        <w:tc>
          <w:tcPr/>
          <w:p w:rsidR="00000000" w:rsidDel="00000000" w:rsidP="00000000" w:rsidRDefault="00000000" w:rsidRPr="00000000" w14:paraId="000000E4">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0.000135</w:t>
            </w:r>
          </w:p>
        </w:tc>
        <w:tc>
          <w:tcPr/>
          <w:p w:rsidR="00000000" w:rsidDel="00000000" w:rsidP="00000000" w:rsidRDefault="00000000" w:rsidRPr="00000000" w14:paraId="000000E5">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E6">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E7">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E8">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Total amount deposited</w:t>
            </w:r>
          </w:p>
        </w:tc>
        <w:tc>
          <w:tcPr/>
          <w:p w:rsidR="00000000" w:rsidDel="00000000" w:rsidP="00000000" w:rsidRDefault="00000000" w:rsidRPr="00000000" w14:paraId="000000E9">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0.000372</w:t>
            </w:r>
          </w:p>
        </w:tc>
        <w:tc>
          <w:tcPr/>
          <w:p w:rsidR="00000000" w:rsidDel="00000000" w:rsidP="00000000" w:rsidRDefault="00000000" w:rsidRPr="00000000" w14:paraId="000000EA">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Continuous</w:t>
            </w:r>
          </w:p>
        </w:tc>
        <w:tc>
          <w:tcPr/>
          <w:p w:rsidR="00000000" w:rsidDel="00000000" w:rsidP="00000000" w:rsidRDefault="00000000" w:rsidRPr="00000000" w14:paraId="000000EB">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Logistic Regression</w:t>
            </w:r>
          </w:p>
        </w:tc>
        <w:tc>
          <w:tcPr/>
          <w:p w:rsidR="00000000" w:rsidDel="00000000" w:rsidP="00000000" w:rsidRDefault="00000000" w:rsidRPr="00000000" w14:paraId="000000EC">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Met</w:t>
            </w:r>
          </w:p>
        </w:tc>
      </w:tr>
      <w:tr>
        <w:trPr>
          <w:cantSplit w:val="0"/>
          <w:trHeight w:val="20" w:hRule="atLeast"/>
          <w:tblHeader w:val="0"/>
        </w:trPr>
        <w:tc>
          <w:tcPr/>
          <w:p w:rsidR="00000000" w:rsidDel="00000000" w:rsidP="00000000" w:rsidRDefault="00000000" w:rsidRPr="00000000" w14:paraId="000000ED">
            <w:pPr>
              <w:spacing w:after="0" w:before="120" w:lineRule="auto"/>
              <w:rPr>
                <w:rFonts w:ascii="Twentieth Century" w:cs="Twentieth Century" w:eastAsia="Twentieth Century" w:hAnsi="Twentieth Century"/>
                <w:b w:val="0"/>
                <w:sz w:val="21"/>
                <w:szCs w:val="21"/>
              </w:rPr>
            </w:pPr>
            <w:r w:rsidDel="00000000" w:rsidR="00000000" w:rsidRPr="00000000">
              <w:rPr>
                <w:rFonts w:ascii="Twentieth Century" w:cs="Twentieth Century" w:eastAsia="Twentieth Century" w:hAnsi="Twentieth Century"/>
                <w:b w:val="0"/>
                <w:sz w:val="21"/>
                <w:szCs w:val="21"/>
                <w:rtl w:val="0"/>
              </w:rPr>
              <w:t xml:space="preserve">Number of cash back requests</w:t>
            </w:r>
          </w:p>
        </w:tc>
        <w:tc>
          <w:tcPr/>
          <w:p w:rsidR="00000000" w:rsidDel="00000000" w:rsidP="00000000" w:rsidRDefault="00000000" w:rsidRPr="00000000" w14:paraId="000000EE">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0.000706</w:t>
            </w:r>
          </w:p>
        </w:tc>
        <w:tc>
          <w:tcPr/>
          <w:p w:rsidR="00000000" w:rsidDel="00000000" w:rsidP="00000000" w:rsidRDefault="00000000" w:rsidRPr="00000000" w14:paraId="000000EF">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Ordinal</w:t>
            </w:r>
          </w:p>
        </w:tc>
        <w:tc>
          <w:tcPr/>
          <w:p w:rsidR="00000000" w:rsidDel="00000000" w:rsidP="00000000" w:rsidRDefault="00000000" w:rsidRPr="00000000" w14:paraId="000000F0">
            <w:pPr>
              <w:spacing w:after="0"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Mantel-Haenszel</w:t>
            </w:r>
          </w:p>
        </w:tc>
        <w:tc>
          <w:tcPr/>
          <w:p w:rsidR="00000000" w:rsidDel="00000000" w:rsidP="00000000" w:rsidRDefault="00000000" w:rsidRPr="00000000" w14:paraId="000000F1">
            <w:pPr>
              <w:spacing w:before="120" w:lineRule="auto"/>
              <w:rPr>
                <w:rFonts w:ascii="Twentieth Century" w:cs="Twentieth Century" w:eastAsia="Twentieth Century" w:hAnsi="Twentieth Century"/>
                <w:sz w:val="21"/>
                <w:szCs w:val="21"/>
              </w:rPr>
            </w:pPr>
            <w:r w:rsidDel="00000000" w:rsidR="00000000" w:rsidRPr="00000000">
              <w:rPr>
                <w:rFonts w:ascii="Twentieth Century" w:cs="Twentieth Century" w:eastAsia="Twentieth Century" w:hAnsi="Twentieth Century"/>
                <w:sz w:val="21"/>
                <w:szCs w:val="21"/>
                <w:rtl w:val="0"/>
              </w:rPr>
              <w:t xml:space="preserve">Not Applicable</w:t>
            </w:r>
          </w:p>
        </w:tc>
      </w:tr>
    </w:tbl>
    <w:p w:rsidR="00000000" w:rsidDel="00000000" w:rsidP="00000000" w:rsidRDefault="00000000" w:rsidRPr="00000000" w14:paraId="000000F2">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F3">
      <w:pPr>
        <w:pStyle w:val="Heading2"/>
        <w:rPr>
          <w:rFonts w:ascii="Arial" w:cs="Arial" w:eastAsia="Arial" w:hAnsi="Arial"/>
        </w:rPr>
      </w:pPr>
      <w:bookmarkStart w:colFirst="0" w:colLast="0" w:name="_heading=h.ffjz42skylut" w:id="13"/>
      <w:bookmarkEnd w:id="13"/>
      <w:r w:rsidDel="00000000" w:rsidR="00000000" w:rsidRPr="00000000">
        <w:rPr>
          <w:rFonts w:ascii="Arial" w:cs="Arial" w:eastAsia="Arial" w:hAnsi="Arial"/>
          <w:rtl w:val="0"/>
        </w:rPr>
        <w:t xml:space="preserve">Odds Ratios</w:t>
      </w:r>
    </w:p>
    <w:p w:rsidR="00000000" w:rsidDel="00000000" w:rsidP="00000000" w:rsidRDefault="00000000" w:rsidRPr="00000000" w14:paraId="000000F4">
      <w:pPr>
        <w:rPr>
          <w:rFonts w:ascii="Calibri" w:cs="Calibri" w:eastAsia="Calibri" w:hAnsi="Calibri"/>
          <w:sz w:val="28"/>
          <w:szCs w:val="28"/>
        </w:rPr>
      </w:pPr>
      <w:r w:rsidDel="00000000" w:rsidR="00000000" w:rsidRPr="00000000">
        <w:rPr>
          <w:rFonts w:ascii="Calibri" w:cs="Calibri" w:eastAsia="Calibri" w:hAnsi="Calibri"/>
          <w:rtl w:val="0"/>
        </w:rPr>
        <w:t xml:space="preserve">As displayed in Table 1 we</w:t>
      </w:r>
      <w:r w:rsidDel="00000000" w:rsidR="00000000" w:rsidRPr="00000000">
        <w:rPr>
          <w:rFonts w:ascii="Calibri" w:cs="Calibri" w:eastAsia="Calibri" w:hAnsi="Calibri"/>
          <w:rtl w:val="0"/>
        </w:rPr>
        <w:t xml:space="preserve"> calculated and ranked the odds ratios for each of the 17 binary predictor variables. Row one of the table shows that the investment account indicator had an odds ratio of 3.472, indicating that customers with an investment account are approximately three and a half times more likely to purchase an annuity compared to customers without an investment account. It also appears that customers who actively save or invest have higher odds of purchasing an annuity than customers that do not.</w:t>
      </w:r>
      <w:r w:rsidDel="00000000" w:rsidR="00000000" w:rsidRPr="00000000">
        <w:rPr>
          <w:rtl w:val="0"/>
        </w:rPr>
      </w:r>
    </w:p>
    <w:p w:rsidR="00000000" w:rsidDel="00000000" w:rsidP="00000000" w:rsidRDefault="00000000" w:rsidRPr="00000000" w14:paraId="000000F5">
      <w:pPr>
        <w:pStyle w:val="Heading2"/>
        <w:rPr>
          <w:rFonts w:ascii="Arial" w:cs="Arial" w:eastAsia="Arial" w:hAnsi="Arial"/>
        </w:rPr>
      </w:pPr>
      <w:bookmarkStart w:colFirst="0" w:colLast="0" w:name="_heading=h.uzubrsezzfg" w:id="14"/>
      <w:bookmarkEnd w:id="14"/>
      <w:r w:rsidDel="00000000" w:rsidR="00000000" w:rsidRPr="00000000">
        <w:rPr>
          <w:rFonts w:ascii="Arial" w:cs="Arial" w:eastAsia="Arial" w:hAnsi="Arial"/>
          <w:rtl w:val="0"/>
        </w:rPr>
        <w:t xml:space="preserve">Linearity Assumption</w:t>
      </w:r>
    </w:p>
    <w:p w:rsidR="00000000" w:rsidDel="00000000" w:rsidP="00000000" w:rsidRDefault="00000000" w:rsidRPr="00000000" w14:paraId="000000F6">
      <w:pPr>
        <w:rPr>
          <w:rFonts w:ascii="Twentieth Century" w:cs="Twentieth Century" w:eastAsia="Twentieth Century" w:hAnsi="Twentieth Century"/>
          <w:b w:val="1"/>
          <w:sz w:val="18"/>
          <w:szCs w:val="18"/>
        </w:rPr>
      </w:pPr>
      <w:r w:rsidDel="00000000" w:rsidR="00000000" w:rsidRPr="00000000">
        <w:rPr>
          <w:rFonts w:ascii="Calibri" w:cs="Calibri" w:eastAsia="Calibri" w:hAnsi="Calibri"/>
          <w:rtl w:val="0"/>
        </w:rPr>
        <w:t xml:space="preserve">Testing of the linearity assumption for continuous variables revealed that, of the 25 continuous variables, ten variables met the assumption of linearity. The results of these tests for significant variables are included in Table 2. A full summary of these tests for all continuous variables is included in the table in Appendix B.</w:t>
      </w:r>
      <w:r w:rsidDel="00000000" w:rsidR="00000000" w:rsidRPr="00000000">
        <w:rPr>
          <w:rtl w:val="0"/>
        </w:rPr>
      </w:r>
    </w:p>
    <w:p w:rsidR="00000000" w:rsidDel="00000000" w:rsidP="00000000" w:rsidRDefault="00000000" w:rsidRPr="00000000" w14:paraId="000000F7">
      <w:pPr>
        <w:pStyle w:val="Heading2"/>
        <w:rPr>
          <w:rFonts w:ascii="Arial" w:cs="Arial" w:eastAsia="Arial" w:hAnsi="Arial"/>
        </w:rPr>
      </w:pPr>
      <w:bookmarkStart w:colFirst="0" w:colLast="0" w:name="_heading=h.1j9xcgg7cvia" w:id="15"/>
      <w:bookmarkEnd w:id="15"/>
      <w:r w:rsidDel="00000000" w:rsidR="00000000" w:rsidRPr="00000000">
        <w:rPr>
          <w:rFonts w:ascii="Arial" w:cs="Arial" w:eastAsia="Arial" w:hAnsi="Arial"/>
          <w:rtl w:val="0"/>
        </w:rPr>
        <w:t xml:space="preserve">Data Considerations</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 also identified several redundant variables among the indicators for account types and their corresponding balances. Other paired redundancies were home ownership/mortgage balance and credit card/line of credit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We also detected a nearly one-to-one relationship between the mortgage balance and credit card balance variables, which had a correlation coefficient of approximately 0.95.</w:t>
      </w:r>
    </w:p>
    <w:p w:rsidR="00000000" w:rsidDel="00000000" w:rsidP="00000000" w:rsidRDefault="00000000" w:rsidRPr="00000000" w14:paraId="000000F9">
      <w:pPr>
        <w:pStyle w:val="Heading1"/>
        <w:spacing w:after="0" w:line="276" w:lineRule="auto"/>
        <w:rPr>
          <w:rFonts w:ascii="Arial" w:cs="Arial" w:eastAsia="Arial" w:hAnsi="Arial"/>
        </w:rPr>
      </w:pPr>
      <w:bookmarkStart w:colFirst="0" w:colLast="0" w:name="_heading=h.8smujbe64m9f" w:id="16"/>
      <w:bookmarkEnd w:id="16"/>
      <w:r w:rsidDel="00000000" w:rsidR="00000000" w:rsidRPr="00000000">
        <w:rPr>
          <w:rFonts w:ascii="Arial" w:cs="Arial" w:eastAsia="Arial" w:hAnsi="Arial"/>
          <w:rtl w:val="0"/>
        </w:rPr>
        <w:t xml:space="preserve">Recommendations</w:t>
      </w:r>
    </w:p>
    <w:p w:rsidR="00000000" w:rsidDel="00000000" w:rsidP="00000000" w:rsidRDefault="00000000" w:rsidRPr="00000000" w14:paraId="000000FA">
      <w:pPr>
        <w:widowControl w:val="0"/>
        <w:spacing w:after="24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We suggest using the variables that were significantly related to the purchase of an insurance product. Due to the large sample size (~ 8500), we advise an alpha level of 0.0008 be used rather than the current alpha level of 0.002. This more conservative approach will provide greater confidence that the findings from your data are reliable.</w:t>
      </w:r>
    </w:p>
    <w:p w:rsidR="00000000" w:rsidDel="00000000" w:rsidP="00000000" w:rsidRDefault="00000000" w:rsidRPr="00000000" w14:paraId="000000FB">
      <w:pPr>
        <w:widowControl w:val="0"/>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To address the redundant variable issue, we recommend removing the indicator variables: certificate of deposit, installment loan, and money market account from the dataset. There are other pairs of indicator and balance variables that do include additional information, but we suggest that the Bank keep these variables or consider combining the pairs into a single variable.</w:t>
      </w:r>
    </w:p>
    <w:p w:rsidR="00000000" w:rsidDel="00000000" w:rsidP="00000000" w:rsidRDefault="00000000" w:rsidRPr="00000000" w14:paraId="000000FC">
      <w:pPr>
        <w:pStyle w:val="Heading1"/>
        <w:widowControl w:val="0"/>
        <w:rPr>
          <w:rFonts w:ascii="Arial" w:cs="Arial" w:eastAsia="Arial" w:hAnsi="Arial"/>
        </w:rPr>
      </w:pPr>
      <w:bookmarkStart w:colFirst="0" w:colLast="0" w:name="_heading=h.ayi1k68qg46t" w:id="17"/>
      <w:bookmarkEnd w:id="17"/>
      <w:r w:rsidDel="00000000" w:rsidR="00000000" w:rsidRPr="00000000">
        <w:rPr>
          <w:rFonts w:ascii="Arial" w:cs="Arial" w:eastAsia="Arial" w:hAnsi="Arial"/>
          <w:rtl w:val="0"/>
        </w:rPr>
        <w:t xml:space="preserve">Conclusion</w:t>
      </w:r>
    </w:p>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From our analysis, we concluded that 28 out of the 47 variables in the Commercial Banking Corporation’s dataset significantly impact whether an individual will purchase variable rate annuity products. In particular, we discovered that </w:t>
      </w:r>
      <w:r w:rsidDel="00000000" w:rsidR="00000000" w:rsidRPr="00000000">
        <w:rPr>
          <w:rFonts w:ascii="Calibri" w:cs="Calibri" w:eastAsia="Calibri" w:hAnsi="Calibri"/>
          <w:rtl w:val="0"/>
        </w:rPr>
        <w:t xml:space="preserve">customers with an investment account are approximately 3 and a half times more likely to purchase an annuity than customers without an investment account. The continuous variables that did not meet the linearity assumption </w:t>
      </w:r>
      <w:r w:rsidDel="00000000" w:rsidR="00000000" w:rsidRPr="00000000">
        <w:rPr>
          <w:rFonts w:ascii="Calibri" w:cs="Calibri" w:eastAsia="Calibri" w:hAnsi="Calibri"/>
          <w:rtl w:val="0"/>
        </w:rPr>
        <w:t xml:space="preserve">will require closer examination. </w:t>
      </w:r>
      <w:r w:rsidDel="00000000" w:rsidR="00000000" w:rsidRPr="00000000">
        <w:rPr>
          <w:rFonts w:ascii="Calibri" w:cs="Calibri" w:eastAsia="Calibri" w:hAnsi="Calibri"/>
          <w:rtl w:val="0"/>
        </w:rPr>
        <w:t xml:space="preserve">The missing data and redundant variables present in the dataset could be a cause for concern</w:t>
      </w:r>
      <w:r w:rsidDel="00000000" w:rsidR="00000000" w:rsidRPr="00000000">
        <w:rPr>
          <w:rFonts w:ascii="Calibri" w:cs="Calibri" w:eastAsia="Calibri" w:hAnsi="Calibri"/>
          <w:rtl w:val="0"/>
        </w:rPr>
        <w:t xml:space="preserve"> and warrant further investigation. </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pStyle w:val="Heading1"/>
        <w:widowControl w:val="0"/>
        <w:rPr>
          <w:rFonts w:ascii="Arial" w:cs="Arial" w:eastAsia="Arial" w:hAnsi="Arial"/>
        </w:rPr>
      </w:pPr>
      <w:bookmarkStart w:colFirst="0" w:colLast="0" w:name="_heading=h.r80hxqdaller" w:id="18"/>
      <w:bookmarkEnd w:id="18"/>
      <w:r w:rsidDel="00000000" w:rsidR="00000000" w:rsidRPr="00000000">
        <w:rPr>
          <w:rFonts w:ascii="Arial" w:cs="Arial" w:eastAsia="Arial" w:hAnsi="Arial"/>
          <w:rtl w:val="0"/>
        </w:rPr>
        <w:t xml:space="preserve">Appendix A</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In assessing the linearity assumption of the continuous variables, we used spline estimation to fit a nonlinear function to the continuous variables. Since the null hypothesis is that a spline estimation provides no value to our analysis beyond a linear relationship, a p-value greater than our significance level of 0.0008 indicates a lack of evidence for a nonlinear relationship.</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pStyle w:val="Heading1"/>
        <w:rPr>
          <w:rFonts w:ascii="Arial" w:cs="Arial" w:eastAsia="Arial" w:hAnsi="Arial"/>
        </w:rPr>
      </w:pPr>
      <w:bookmarkStart w:colFirst="0" w:colLast="0" w:name="_heading=h.4314sgj6xpr" w:id="19"/>
      <w:bookmarkEnd w:id="19"/>
      <w:r w:rsidDel="00000000" w:rsidR="00000000" w:rsidRPr="00000000">
        <w:rPr>
          <w:rFonts w:ascii="Arial" w:cs="Arial" w:eastAsia="Arial" w:hAnsi="Arial"/>
          <w:rtl w:val="0"/>
        </w:rPr>
        <w:t xml:space="preserve">Appendix B</w:t>
      </w:r>
    </w:p>
    <w:p w:rsidR="00000000" w:rsidDel="00000000" w:rsidP="00000000" w:rsidRDefault="00000000" w:rsidRPr="00000000" w14:paraId="00000104">
      <w:pPr>
        <w:rPr/>
      </w:pPr>
      <w:r w:rsidDel="00000000" w:rsidR="00000000" w:rsidRPr="00000000">
        <w:rPr>
          <w:rtl w:val="0"/>
        </w:rPr>
        <w:t xml:space="preserve">A full list of all 47 predictor variables, their significance, their type, and whether or not they meet the assumption of linearity is provided below in Table 3. The table is sorted in descending order of significance.</w:t>
      </w: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Table 3: Full List of Variables Ranked By Significance</w:t>
      </w:r>
    </w:p>
    <w:tbl>
      <w:tblPr>
        <w:tblStyle w:val="Table4"/>
        <w:tblW w:w="8415.0" w:type="dxa"/>
        <w:jc w:val="left"/>
        <w:tblInd w:w="53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305"/>
        <w:gridCol w:w="1650"/>
        <w:gridCol w:w="1560"/>
        <w:tblGridChange w:id="0">
          <w:tblGrid>
            <w:gridCol w:w="3900"/>
            <w:gridCol w:w="1305"/>
            <w:gridCol w:w="1650"/>
            <w:gridCol w:w="1560"/>
          </w:tblGrid>
        </w:tblGridChange>
      </w:tblGrid>
      <w:tr>
        <w:trPr>
          <w:cantSplit w:val="0"/>
          <w:tblHeader w:val="0"/>
        </w:trPr>
        <w:tc>
          <w:tcPr>
            <w:tcBorders>
              <w:top w:color="bed3e3" w:space="0" w:sz="8" w:val="single"/>
              <w:left w:color="bed3e3" w:space="0" w:sz="8" w:val="single"/>
              <w:bottom w:color="bed3e3" w:space="0" w:sz="8" w:val="single"/>
              <w:right w:color="000000" w:space="0" w:sz="0" w:val="nil"/>
            </w:tcBorders>
            <w:shd w:fill="94b6d2"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Variable Description</w:t>
            </w:r>
          </w:p>
        </w:tc>
        <w:tc>
          <w:tcPr>
            <w:tcBorders>
              <w:top w:color="bed3e3" w:space="0" w:sz="8" w:val="single"/>
              <w:left w:color="000000" w:space="0" w:sz="0" w:val="nil"/>
              <w:bottom w:color="bed3e3" w:space="0" w:sz="8" w:val="single"/>
              <w:right w:color="000000" w:space="0" w:sz="0" w:val="nil"/>
            </w:tcBorders>
            <w:shd w:fill="94b6d2"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Type</w:t>
            </w:r>
          </w:p>
        </w:tc>
        <w:tc>
          <w:tcPr>
            <w:tcBorders>
              <w:top w:color="bed3e3" w:space="0" w:sz="8" w:val="single"/>
              <w:left w:color="000000" w:space="0" w:sz="0" w:val="nil"/>
              <w:bottom w:color="bed3e3" w:space="0" w:sz="8" w:val="single"/>
              <w:right w:color="000000" w:space="0" w:sz="0" w:val="nil"/>
            </w:tcBorders>
            <w:shd w:fill="94b6d2"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Significance (p-value)</w:t>
            </w:r>
          </w:p>
        </w:tc>
        <w:tc>
          <w:tcPr>
            <w:tcBorders>
              <w:top w:color="bed3e3" w:space="0" w:sz="8" w:val="single"/>
              <w:left w:color="000000" w:space="0" w:sz="0" w:val="nil"/>
              <w:bottom w:color="bed3e3" w:space="0" w:sz="8" w:val="single"/>
              <w:right w:color="bed3e3" w:space="0" w:sz="8" w:val="single"/>
            </w:tcBorders>
            <w:shd w:fill="94b6d2"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Linearity Assumption</w:t>
            </w:r>
          </w:p>
        </w:tc>
      </w:tr>
      <w:tr>
        <w:trPr>
          <w:cantSplit w:val="0"/>
          <w:trHeight w:val="330" w:hRule="atLeast"/>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Certificate of Deposit Account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D">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rHeight w:val="390" w:hRule="atLeast"/>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Checking Account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Money Market Account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4">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Savings Account Balance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8">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Money Market Account Balance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Savings Account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Checking Deposits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4">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Retirement Account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8">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9">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CD Balance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Credit Card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ATM Interaction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4">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Checking Account Balance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8">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Investment Account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D">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Phone Banking Interactions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Money Market Credits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Ordinal</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4">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Bank Branch</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8">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9">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Home Value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Checks Written</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Retirement Account Balance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4">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Direct Deposit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8">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9">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Insufficient Funds Issues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C">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D">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Credit Card Purchases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Ordinal</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0">
            <w:pPr>
              <w:widowControl w:val="0"/>
              <w:spacing w:after="0" w:lineRule="auto"/>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Safety Deposit Box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&lt; 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 ATM Withdrawal Amount</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POS Interactions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0.000001</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Local Address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0.000001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 Insufficient Fund Amount</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0.000135</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 Amount Deposited</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0.000372</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Cash Back Requests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Ordinal</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0.000706</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D">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Credit Card Balance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0.003215</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Installment Loan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0.007265</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Account Age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0.007871</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Teller Interactions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0.009309</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Installment Loan Balance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0.031314</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Investment Account Balance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0.039032</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Mortgage Balance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0.059459</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Amount from POS Interactions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0.119230</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0.218974</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1">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Classification</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0.234264</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Recent Address Change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0.237067</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9">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Income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0.256665</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Credit Score</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0.393260</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Line of Credit (i)</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0.499495</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Mortgage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0.528115</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Length of Residence (Years)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0.851265</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LOC Balance</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Continuous</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0.911210</w:t>
            </w:r>
          </w:p>
        </w:tc>
        <w:tc>
          <w:tcPr>
            <w:tcBorders>
              <w:top w:color="bed3e3" w:space="0" w:sz="8" w:val="single"/>
              <w:left w:color="bed3e3" w:space="0" w:sz="8" w:val="single"/>
              <w:bottom w:color="bed3e3" w:space="0" w:sz="8" w:val="single"/>
              <w:right w:color="bed3e3" w:space="0" w:sz="8"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cantSplit w:val="0"/>
          <w:tblHeader w:val="0"/>
        </w:trPr>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Home Ownership (i)</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Binary</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0.919609</w:t>
            </w:r>
          </w:p>
        </w:tc>
        <w:tc>
          <w:tcPr>
            <w:tcBorders>
              <w:top w:color="bed3e3" w:space="0" w:sz="8" w:val="single"/>
              <w:left w:color="bed3e3" w:space="0" w:sz="8" w:val="single"/>
              <w:bottom w:color="bed3e3" w:space="0" w:sz="8" w:val="single"/>
              <w:right w:color="bed3e3" w:space="0" w:sz="8" w:val="single"/>
            </w:tcBorders>
            <w:shd w:fill="e9f0f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5">
            <w:pPr>
              <w:widowControl w:val="0"/>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Not Applicable</w:t>
            </w:r>
          </w:p>
        </w:tc>
      </w:tr>
    </w:tbl>
    <w:p w:rsidR="00000000" w:rsidDel="00000000" w:rsidP="00000000" w:rsidRDefault="00000000" w:rsidRPr="00000000" w14:paraId="000001C6">
      <w:pPr>
        <w:rPr>
          <w:rFonts w:ascii="Calibri" w:cs="Calibri" w:eastAsia="Calibri" w:hAnsi="Calibri"/>
        </w:rPr>
      </w:pPr>
      <w:r w:rsidDel="00000000" w:rsidR="00000000" w:rsidRPr="00000000">
        <w:rPr>
          <w:rtl w:val="0"/>
        </w:rPr>
      </w:r>
    </w:p>
    <w:p w:rsidR="00000000" w:rsidDel="00000000" w:rsidP="00000000" w:rsidRDefault="00000000" w:rsidRPr="00000000" w14:paraId="000001C7">
      <w:pPr>
        <w:pStyle w:val="Heading1"/>
        <w:widowControl w:val="0"/>
        <w:rPr>
          <w:rFonts w:ascii="Arial" w:cs="Arial" w:eastAsia="Arial" w:hAnsi="Arial"/>
        </w:rPr>
      </w:pPr>
      <w:bookmarkStart w:colFirst="0" w:colLast="0" w:name="_heading=h.7z6zfs2w08q6" w:id="20"/>
      <w:bookmarkEnd w:id="20"/>
      <w:r w:rsidDel="00000000" w:rsidR="00000000" w:rsidRPr="00000000">
        <w:rPr>
          <w:rFonts w:ascii="Arial" w:cs="Arial" w:eastAsia="Arial" w:hAnsi="Arial"/>
          <w:rtl w:val="0"/>
        </w:rPr>
        <w:t xml:space="preserve">References</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highlight w:val="white"/>
          <w:rtl w:val="0"/>
        </w:rPr>
        <w:t xml:space="preserve">Raftery, A. (1995). Bayesian Model Selection in Social Research. </w:t>
      </w:r>
      <w:r w:rsidDel="00000000" w:rsidR="00000000" w:rsidRPr="00000000">
        <w:rPr>
          <w:rFonts w:ascii="Calibri" w:cs="Calibri" w:eastAsia="Calibri" w:hAnsi="Calibri"/>
          <w:i w:val="1"/>
          <w:highlight w:val="white"/>
          <w:rtl w:val="0"/>
        </w:rPr>
        <w:t xml:space="preserve">Sociological Methodology,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25</w:t>
      </w:r>
      <w:r w:rsidDel="00000000" w:rsidR="00000000" w:rsidRPr="00000000">
        <w:rPr>
          <w:rFonts w:ascii="Calibri" w:cs="Calibri" w:eastAsia="Calibri" w:hAnsi="Calibri"/>
          <w:highlight w:val="white"/>
          <w:rtl w:val="0"/>
        </w:rPr>
        <w:t xml:space="preserve">, 111-163. doi:10.2307/271063</w:t>
      </w:r>
      <w:r w:rsidDel="00000000" w:rsidR="00000000" w:rsidRPr="00000000">
        <w:rPr>
          <w:rtl w:val="0"/>
        </w:rPr>
      </w:r>
    </w:p>
    <w:sectPr>
      <w:foot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righ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after="0" w:line="276" w:lineRule="auto"/>
      <w:jc w:val="right"/>
      <w:rPr>
        <w:color w:val="775f55"/>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1CF">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pPr>
    <w:r w:rsidDel="00000000" w:rsidR="00000000" w:rsidRPr="00000000">
      <w:rPr>
        <w:rtl w:val="0"/>
      </w:rPr>
      <w:tab/>
      <w:tab/>
      <w:tab/>
    </w:r>
  </w:p>
  <w:p w:rsidR="00000000" w:rsidDel="00000000" w:rsidP="00000000" w:rsidRDefault="00000000" w:rsidRPr="00000000" w14:paraId="000001D1">
    <w:pPr>
      <w:spacing w:after="40" w:before="400" w:lineRule="auto"/>
      <w:rPr>
        <w:sz w:val="36"/>
        <w:szCs w:val="36"/>
      </w:rPr>
    </w:pPr>
    <w:r w:rsidDel="00000000" w:rsidR="00000000" w:rsidRPr="00000000">
      <w:rPr>
        <w:rtl w:val="0"/>
      </w:rPr>
    </w:r>
  </w:p>
  <w:p w:rsidR="00000000" w:rsidDel="00000000" w:rsidP="00000000" w:rsidRDefault="00000000" w:rsidRPr="00000000" w14:paraId="000001D2">
    <w:pPr>
      <w:jc w:val="right"/>
      <w:rPr>
        <w:sz w:val="36"/>
        <w:szCs w:val="3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righ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rtl w:val="0"/>
      </w:rPr>
      <w:t xml:space="preserve"> </w:t>
      <w:tab/>
      <w:tab/>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after="0" w:line="276" w:lineRule="auto"/>
      <w:jc w:val="right"/>
      <w:rPr>
        <w:color w:val="775f55"/>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color="94b6d2" w:space="1" w:sz="4" w:val="single"/>
        <w:right w:space="0" w:sz="0" w:val="nil"/>
        <w:between w:space="0" w:sz="0" w:val="nil"/>
      </w:pBdr>
      <w:spacing w:after="0" w:line="240" w:lineRule="auto"/>
      <w:jc w:val="right"/>
      <w:rPr>
        <w:rFonts w:ascii="Arial" w:cs="Arial" w:eastAsia="Arial" w:hAnsi="Arial"/>
        <w:b w:val="1"/>
        <w:sz w:val="20"/>
        <w:szCs w:val="20"/>
      </w:rPr>
    </w:pPr>
    <w:r w:rsidDel="00000000" w:rsidR="00000000" w:rsidRPr="00000000">
      <w:rPr>
        <w:b w:val="1"/>
        <w:sz w:val="20"/>
        <w:szCs w:val="20"/>
        <w:rtl w:val="0"/>
      </w:rPr>
      <w:t xml:space="preserve">Variable Annuity Product Analysis: Phase One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Title of report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0" w:before="12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pageBreakBefore w:val="0"/>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pageBreakBefore w:val="0"/>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pageBreakBefore w:val="0"/>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jc w:val="center"/>
    </w:pPr>
    <w:rPr>
      <w:rFonts w:ascii="Arial" w:cs="Arial" w:eastAsia="Arial" w:hAnsi="Arial"/>
      <w:smallCaps w:val="1"/>
      <w:sz w:val="48"/>
      <w:szCs w:val="48"/>
    </w:rPr>
  </w:style>
  <w:style w:type="paragraph" w:styleId="Normal" w:default="1">
    <w:name w:val="Normal"/>
    <w:qFormat w:val="1"/>
    <w:rsid w:val="00CF2717"/>
  </w:style>
  <w:style w:type="paragraph" w:styleId="Heading1">
    <w:name w:val="heading 1"/>
    <w:basedOn w:val="Normal"/>
    <w:next w:val="Normal"/>
    <w:link w:val="Heading1Char"/>
    <w:uiPriority w:val="9"/>
    <w:qFormat w:val="1"/>
    <w:rsid w:val="00CF2717"/>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CF2717"/>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CF2717"/>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CF2717"/>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CF2717"/>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CF2717"/>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CF2717"/>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CF2717"/>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CF2717"/>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F2717"/>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Heading1Char" w:customStyle="1">
    <w:name w:val="Heading 1 Char"/>
    <w:basedOn w:val="DefaultParagraphFont"/>
    <w:link w:val="Heading1"/>
    <w:uiPriority w:val="9"/>
    <w:rsid w:val="00CF2717"/>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CF2717"/>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CF2717"/>
    <w:rPr>
      <w:rFonts w:asciiTheme="majorHAnsi" w:cstheme="majorBidi" w:eastAsiaTheme="majorEastAsia" w:hAnsiTheme="majorHAnsi"/>
      <w:smallCaps w:val="1"/>
      <w:sz w:val="28"/>
      <w:szCs w:val="28"/>
    </w:rPr>
  </w:style>
  <w:style w:type="paragraph" w:styleId="Footer">
    <w:name w:val="footer"/>
    <w:basedOn w:val="Normal"/>
    <w:link w:val="FooterChar"/>
    <w:uiPriority w:val="99"/>
    <w:unhideWhenUsed w:val="1"/>
    <w:pPr>
      <w:tabs>
        <w:tab w:val="center" w:pos="4320"/>
        <w:tab w:val="right" w:pos="8640"/>
      </w:tabs>
    </w:pPr>
  </w:style>
  <w:style w:type="character" w:styleId="FooterChar" w:customStyle="1">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val="1"/>
    <w:pPr>
      <w:tabs>
        <w:tab w:val="center" w:pos="4320"/>
        <w:tab w:val="right" w:pos="8640"/>
      </w:tabs>
    </w:pPr>
  </w:style>
  <w:style w:type="character" w:styleId="HeaderChar" w:customStyle="1">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val="1"/>
    <w:rsid w:val="00CF2717"/>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CF2717"/>
    <w:rPr>
      <w:color w:val="404040" w:themeColor="text1" w:themeTint="0000BF"/>
      <w:sz w:val="32"/>
      <w:szCs w:val="32"/>
    </w:rPr>
  </w:style>
  <w:style w:type="paragraph" w:styleId="Subtitle">
    <w:name w:val="Subtitle"/>
    <w:basedOn w:val="Normal"/>
    <w:next w:val="Normal"/>
    <w:link w:val="SubtitleChar"/>
    <w:rPr>
      <w:smallCaps w:val="1"/>
      <w:color w:val="595959"/>
      <w:sz w:val="28"/>
      <w:szCs w:val="28"/>
    </w:rPr>
  </w:style>
  <w:style w:type="character" w:styleId="SubtitleChar" w:customStyle="1">
    <w:name w:val="Subtitle Char"/>
    <w:basedOn w:val="DefaultParagraphFont"/>
    <w:link w:val="Subtitle"/>
    <w:uiPriority w:val="11"/>
    <w:rsid w:val="00CF2717"/>
    <w:rPr>
      <w:rFonts w:asciiTheme="majorHAnsi" w:cstheme="majorBidi" w:eastAsiaTheme="majorEastAsia" w:hAnsiTheme="majorHAnsi"/>
      <w:smallCaps w:val="1"/>
      <w:color w:val="595959" w:themeColor="text1" w:themeTint="0000A6"/>
      <w:sz w:val="28"/>
      <w:szCs w:val="28"/>
    </w:rPr>
  </w:style>
  <w:style w:type="character" w:styleId="TitleChar" w:customStyle="1">
    <w:name w:val="Title Char"/>
    <w:basedOn w:val="DefaultParagraphFont"/>
    <w:link w:val="Title"/>
    <w:uiPriority w:val="10"/>
    <w:rsid w:val="00CF2717"/>
    <w:rPr>
      <w:rFonts w:asciiTheme="majorHAnsi" w:cstheme="majorBidi" w:eastAsiaTheme="majorEastAsia" w:hAnsiTheme="majorHAnsi"/>
      <w:caps w:val="1"/>
      <w:color w:val="404040" w:themeColor="text1" w:themeTint="0000BF"/>
      <w:spacing w:val="-10"/>
      <w:sz w:val="72"/>
      <w:szCs w:val="7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lang w:eastAsia="ja-JP"/>
    </w:rPr>
  </w:style>
  <w:style w:type="character" w:styleId="BookTitle">
    <w:name w:val="Book Title"/>
    <w:basedOn w:val="DefaultParagraphFont"/>
    <w:uiPriority w:val="33"/>
    <w:qFormat w:val="1"/>
    <w:rsid w:val="00CF2717"/>
    <w:rPr>
      <w:b w:val="1"/>
      <w:bCs w:val="1"/>
      <w:smallCaps w:val="1"/>
      <w:spacing w:val="7"/>
    </w:rPr>
  </w:style>
  <w:style w:type="paragraph" w:styleId="Caption">
    <w:name w:val="caption"/>
    <w:aliases w:val="Caption Figure TOC"/>
    <w:basedOn w:val="Normal"/>
    <w:next w:val="Normal"/>
    <w:uiPriority w:val="35"/>
    <w:unhideWhenUsed w:val="1"/>
    <w:qFormat w:val="1"/>
    <w:rsid w:val="00CF2717"/>
    <w:pPr>
      <w:spacing w:line="240" w:lineRule="auto"/>
    </w:pPr>
    <w:rPr>
      <w:b w:val="1"/>
      <w:bCs w:val="1"/>
      <w:smallCaps w:val="1"/>
      <w:color w:val="595959" w:themeColor="text1" w:themeTint="0000A6"/>
    </w:rPr>
  </w:style>
  <w:style w:type="character" w:styleId="Emphasis">
    <w:name w:val="Emphasis"/>
    <w:basedOn w:val="DefaultParagraphFont"/>
    <w:uiPriority w:val="20"/>
    <w:qFormat w:val="1"/>
    <w:rsid w:val="00CF2717"/>
    <w:rPr>
      <w:i w:val="1"/>
      <w:iCs w:val="1"/>
    </w:rPr>
  </w:style>
  <w:style w:type="character" w:styleId="Heading4Char" w:customStyle="1">
    <w:name w:val="Heading 4 Char"/>
    <w:basedOn w:val="DefaultParagraphFont"/>
    <w:link w:val="Heading4"/>
    <w:uiPriority w:val="9"/>
    <w:semiHidden w:val="1"/>
    <w:rsid w:val="00CF2717"/>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CF2717"/>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CF2717"/>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CF2717"/>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CF2717"/>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CF2717"/>
    <w:rPr>
      <w:rFonts w:asciiTheme="majorHAnsi" w:cstheme="majorBidi" w:eastAsiaTheme="majorEastAsia" w:hAnsiTheme="majorHAnsi"/>
      <w:b w:val="1"/>
      <w:bCs w:val="1"/>
      <w:i w:val="1"/>
      <w:iCs w:val="1"/>
      <w:caps w:val="1"/>
      <w:color w:val="7f7f7f" w:themeColor="text1" w:themeTint="000080"/>
      <w:sz w:val="20"/>
      <w:szCs w:val="20"/>
    </w:rPr>
  </w:style>
  <w:style w:type="character" w:styleId="Hyperlink">
    <w:name w:val="Hyperlink"/>
    <w:basedOn w:val="DefaultParagraphFont"/>
    <w:uiPriority w:val="99"/>
    <w:unhideWhenUsed w:val="1"/>
    <w:rPr>
      <w:color w:val="f7b615" w:themeColor="hyperlink"/>
      <w:u w:val="single"/>
    </w:rPr>
  </w:style>
  <w:style w:type="character" w:styleId="IntenseEmphasis">
    <w:name w:val="Intense Emphasis"/>
    <w:basedOn w:val="DefaultParagraphFont"/>
    <w:uiPriority w:val="21"/>
    <w:qFormat w:val="1"/>
    <w:rsid w:val="00CF2717"/>
    <w:rPr>
      <w:b w:val="1"/>
      <w:bCs w:val="1"/>
      <w:i w:val="1"/>
      <w:iCs w:val="1"/>
    </w:rPr>
  </w:style>
  <w:style w:type="character" w:styleId="IntenseReference">
    <w:name w:val="Intense Reference"/>
    <w:basedOn w:val="DefaultParagraphFont"/>
    <w:uiPriority w:val="32"/>
    <w:qFormat w:val="1"/>
    <w:rsid w:val="00CF2717"/>
    <w:rPr>
      <w:b w:val="1"/>
      <w:bCs w:val="1"/>
      <w:caps w:val="0"/>
      <w:smallCaps w:val="1"/>
      <w:color w:val="auto"/>
      <w:spacing w:val="3"/>
      <w:u w:val="single"/>
    </w:rPr>
  </w:style>
  <w:style w:type="paragraph" w:styleId="List">
    <w:name w:val="List"/>
    <w:basedOn w:val="Normal"/>
    <w:uiPriority w:val="99"/>
    <w:semiHidden w:val="1"/>
    <w:unhideWhenUsed w:val="1"/>
    <w:pPr>
      <w:ind w:left="360" w:hanging="360"/>
    </w:pPr>
  </w:style>
  <w:style w:type="paragraph" w:styleId="List2">
    <w:name w:val="List 2"/>
    <w:basedOn w:val="Normal"/>
    <w:uiPriority w:val="99"/>
    <w:semiHidden w:val="1"/>
    <w:unhideWhenUsed w:val="1"/>
    <w:pPr>
      <w:ind w:left="720" w:hanging="360"/>
    </w:pPr>
  </w:style>
  <w:style w:type="paragraph" w:styleId="ListBullet">
    <w:name w:val="List Bullet"/>
    <w:basedOn w:val="Normal"/>
    <w:uiPriority w:val="36"/>
    <w:unhideWhenUsed w:val="1"/>
    <w:pPr>
      <w:numPr>
        <w:numId w:val="2"/>
      </w:numPr>
    </w:pPr>
    <w:rPr>
      <w:sz w:val="24"/>
    </w:rPr>
  </w:style>
  <w:style w:type="paragraph" w:styleId="ListBullet2">
    <w:name w:val="List Bullet 2"/>
    <w:basedOn w:val="Normal"/>
    <w:uiPriority w:val="36"/>
    <w:unhideWhenUsed w:val="1"/>
    <w:pPr>
      <w:tabs>
        <w:tab w:val="num" w:pos="720"/>
      </w:tabs>
      <w:ind w:left="720" w:hanging="720"/>
    </w:pPr>
    <w:rPr>
      <w:color w:val="94b6d2" w:themeColor="accent1"/>
    </w:rPr>
  </w:style>
  <w:style w:type="paragraph" w:styleId="ListBullet3">
    <w:name w:val="List Bullet 3"/>
    <w:basedOn w:val="Normal"/>
    <w:uiPriority w:val="36"/>
    <w:unhideWhenUsed w:val="1"/>
    <w:pPr>
      <w:tabs>
        <w:tab w:val="num" w:pos="720"/>
      </w:tabs>
      <w:ind w:left="720" w:hanging="720"/>
    </w:pPr>
    <w:rPr>
      <w:color w:val="dd8047" w:themeColor="accent2"/>
    </w:rPr>
  </w:style>
  <w:style w:type="paragraph" w:styleId="ListBullet4">
    <w:name w:val="List Bullet 4"/>
    <w:basedOn w:val="Normal"/>
    <w:uiPriority w:val="36"/>
    <w:unhideWhenUsed w:val="1"/>
    <w:pPr>
      <w:tabs>
        <w:tab w:val="num" w:pos="720"/>
      </w:tabs>
      <w:ind w:left="720" w:hanging="720"/>
    </w:pPr>
    <w:rPr>
      <w:caps w:val="1"/>
      <w:spacing w:val="4"/>
    </w:rPr>
  </w:style>
  <w:style w:type="paragraph" w:styleId="ListBullet5">
    <w:name w:val="List Bullet 5"/>
    <w:basedOn w:val="Normal"/>
    <w:uiPriority w:val="36"/>
    <w:unhideWhenUsed w:val="1"/>
    <w:pPr>
      <w:tabs>
        <w:tab w:val="num" w:pos="720"/>
      </w:tabs>
      <w:ind w:left="720" w:hanging="720"/>
    </w:pPr>
  </w:style>
  <w:style w:type="paragraph" w:styleId="ListParagraph">
    <w:name w:val="List Paragraph"/>
    <w:basedOn w:val="Normal"/>
    <w:uiPriority w:val="34"/>
    <w:qFormat w:val="1"/>
    <w:pPr>
      <w:ind w:left="720"/>
      <w:contextualSpacing w:val="1"/>
    </w:pPr>
  </w:style>
  <w:style w:type="numbering" w:styleId="MedianListStyle" w:customStyle="1">
    <w:name w:val="Median List Style"/>
    <w:uiPriority w:val="99"/>
  </w:style>
  <w:style w:type="paragraph" w:styleId="NoSpacing">
    <w:name w:val="No Spacing"/>
    <w:uiPriority w:val="1"/>
    <w:qFormat w:val="1"/>
    <w:rsid w:val="00CF2717"/>
    <w:pPr>
      <w:spacing w:after="0" w:line="240" w:lineRule="auto"/>
    </w:pPr>
  </w:style>
  <w:style w:type="character" w:styleId="PlaceholderText">
    <w:name w:val="Placeholder Text"/>
    <w:basedOn w:val="DefaultParagraphFont"/>
    <w:uiPriority w:val="99"/>
    <w:unhideWhenUsed w:val="1"/>
    <w:rPr>
      <w:color w:val="808080"/>
    </w:rPr>
  </w:style>
  <w:style w:type="paragraph" w:styleId="Quote">
    <w:name w:val="Quote"/>
    <w:basedOn w:val="Normal"/>
    <w:next w:val="Normal"/>
    <w:link w:val="QuoteChar"/>
    <w:uiPriority w:val="29"/>
    <w:qFormat w:val="1"/>
    <w:rsid w:val="00CF2717"/>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CF2717"/>
    <w:rPr>
      <w:rFonts w:asciiTheme="majorHAnsi" w:cstheme="majorBidi" w:eastAsiaTheme="majorEastAsia" w:hAnsiTheme="majorHAnsi"/>
      <w:sz w:val="25"/>
      <w:szCs w:val="25"/>
    </w:rPr>
  </w:style>
  <w:style w:type="character" w:styleId="Strong">
    <w:name w:val="Strong"/>
    <w:basedOn w:val="DefaultParagraphFont"/>
    <w:uiPriority w:val="22"/>
    <w:qFormat w:val="1"/>
    <w:rsid w:val="00CF2717"/>
    <w:rPr>
      <w:b w:val="1"/>
      <w:bCs w:val="1"/>
    </w:rPr>
  </w:style>
  <w:style w:type="character" w:styleId="SubtleEmphasis">
    <w:name w:val="Subtle Emphasis"/>
    <w:basedOn w:val="DefaultParagraphFont"/>
    <w:uiPriority w:val="19"/>
    <w:qFormat w:val="1"/>
    <w:rsid w:val="00CF2717"/>
    <w:rPr>
      <w:i w:val="1"/>
      <w:iCs w:val="1"/>
      <w:color w:val="595959" w:themeColor="text1" w:themeTint="0000A6"/>
    </w:rPr>
  </w:style>
  <w:style w:type="character" w:styleId="SubtleReference">
    <w:name w:val="Subtle Reference"/>
    <w:basedOn w:val="DefaultParagraphFont"/>
    <w:uiPriority w:val="31"/>
    <w:qFormat w:val="1"/>
    <w:rsid w:val="00CF2717"/>
    <w:rPr>
      <w:smallCaps w:val="1"/>
      <w:color w:val="404040" w:themeColor="text1" w:themeTint="0000BF"/>
      <w:u w:color="7f7f7f" w:themeColor="text1" w:themeTint="000080" w:val="single"/>
    </w:rPr>
  </w:style>
  <w:style w:type="table" w:styleId="TableGrid">
    <w:name w:val="Table Grid"/>
    <w:basedOn w:val="TableNormal"/>
    <w:uiPriority w:val="1"/>
    <w:pPr>
      <w:spacing w:after="0" w:line="240" w:lineRule="auto"/>
    </w:pPr>
    <w:rPr>
      <w:rFonts w:cstheme="minorHAnsi"/>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pPr>
      <w:ind w:left="220" w:hanging="220"/>
    </w:pPr>
  </w:style>
  <w:style w:type="paragraph" w:styleId="TOC1">
    <w:name w:val="toc 1"/>
    <w:basedOn w:val="Normal"/>
    <w:next w:val="Normal"/>
    <w:autoRedefine w:val="1"/>
    <w:uiPriority w:val="39"/>
    <w:unhideWhenUsed w:val="1"/>
    <w:pPr>
      <w:tabs>
        <w:tab w:val="right" w:leader="dot" w:pos="8630"/>
      </w:tabs>
      <w:spacing w:after="40" w:before="180" w:line="240" w:lineRule="auto"/>
    </w:pPr>
    <w:rPr>
      <w:b w:val="1"/>
      <w:caps w:val="1"/>
      <w:noProof w:val="1"/>
      <w:color w:val="775f55" w:themeColor="text2"/>
    </w:rPr>
  </w:style>
  <w:style w:type="paragraph" w:styleId="TOC2">
    <w:name w:val="toc 2"/>
    <w:basedOn w:val="Normal"/>
    <w:next w:val="Normal"/>
    <w:autoRedefine w:val="1"/>
    <w:uiPriority w:val="39"/>
    <w:unhideWhenUsed w:val="1"/>
    <w:pPr>
      <w:tabs>
        <w:tab w:val="right" w:leader="dot" w:pos="8630"/>
      </w:tabs>
      <w:spacing w:after="40" w:line="240" w:lineRule="auto"/>
      <w:ind w:left="144"/>
    </w:pPr>
    <w:rPr>
      <w:noProof w:val="1"/>
    </w:rPr>
  </w:style>
  <w:style w:type="paragraph" w:styleId="TOC3">
    <w:name w:val="toc 3"/>
    <w:basedOn w:val="Normal"/>
    <w:next w:val="Normal"/>
    <w:autoRedefine w:val="1"/>
    <w:uiPriority w:val="39"/>
    <w:unhideWhenUsed w:val="1"/>
    <w:pPr>
      <w:tabs>
        <w:tab w:val="right" w:leader="dot" w:pos="8630"/>
      </w:tabs>
      <w:spacing w:after="40" w:line="240" w:lineRule="auto"/>
      <w:ind w:left="288"/>
    </w:pPr>
    <w:rPr>
      <w:noProof w:val="1"/>
    </w:rPr>
  </w:style>
  <w:style w:type="paragraph" w:styleId="TOC4">
    <w:name w:val="toc 4"/>
    <w:basedOn w:val="Normal"/>
    <w:next w:val="Normal"/>
    <w:autoRedefine w:val="1"/>
    <w:uiPriority w:val="99"/>
    <w:semiHidden w:val="1"/>
    <w:unhideWhenUsed w:val="1"/>
    <w:pPr>
      <w:tabs>
        <w:tab w:val="right" w:leader="dot" w:pos="8630"/>
      </w:tabs>
      <w:spacing w:after="40" w:line="240" w:lineRule="auto"/>
      <w:ind w:left="432"/>
    </w:pPr>
    <w:rPr>
      <w:noProof w:val="1"/>
    </w:rPr>
  </w:style>
  <w:style w:type="paragraph" w:styleId="TOC5">
    <w:name w:val="toc 5"/>
    <w:basedOn w:val="Normal"/>
    <w:next w:val="Normal"/>
    <w:autoRedefine w:val="1"/>
    <w:uiPriority w:val="99"/>
    <w:semiHidden w:val="1"/>
    <w:unhideWhenUsed w:val="1"/>
    <w:pPr>
      <w:tabs>
        <w:tab w:val="right" w:leader="dot" w:pos="8630"/>
      </w:tabs>
      <w:spacing w:after="40" w:line="240" w:lineRule="auto"/>
      <w:ind w:left="576"/>
    </w:pPr>
    <w:rPr>
      <w:noProof w:val="1"/>
    </w:rPr>
  </w:style>
  <w:style w:type="paragraph" w:styleId="TOC6">
    <w:name w:val="toc 6"/>
    <w:basedOn w:val="Normal"/>
    <w:next w:val="Normal"/>
    <w:autoRedefine w:val="1"/>
    <w:uiPriority w:val="99"/>
    <w:semiHidden w:val="1"/>
    <w:unhideWhenUsed w:val="1"/>
    <w:pPr>
      <w:tabs>
        <w:tab w:val="right" w:leader="dot" w:pos="8630"/>
      </w:tabs>
      <w:spacing w:after="40" w:line="240" w:lineRule="auto"/>
      <w:ind w:left="720"/>
    </w:pPr>
    <w:rPr>
      <w:noProof w:val="1"/>
    </w:rPr>
  </w:style>
  <w:style w:type="paragraph" w:styleId="TOC7">
    <w:name w:val="toc 7"/>
    <w:basedOn w:val="Normal"/>
    <w:next w:val="Normal"/>
    <w:autoRedefine w:val="1"/>
    <w:uiPriority w:val="99"/>
    <w:semiHidden w:val="1"/>
    <w:unhideWhenUsed w:val="1"/>
    <w:pPr>
      <w:tabs>
        <w:tab w:val="right" w:leader="dot" w:pos="8630"/>
      </w:tabs>
      <w:spacing w:after="40" w:line="240" w:lineRule="auto"/>
      <w:ind w:left="864"/>
    </w:pPr>
    <w:rPr>
      <w:noProof w:val="1"/>
    </w:rPr>
  </w:style>
  <w:style w:type="paragraph" w:styleId="TOC8">
    <w:name w:val="toc 8"/>
    <w:basedOn w:val="Normal"/>
    <w:next w:val="Normal"/>
    <w:autoRedefine w:val="1"/>
    <w:uiPriority w:val="99"/>
    <w:semiHidden w:val="1"/>
    <w:unhideWhenUsed w:val="1"/>
    <w:pPr>
      <w:tabs>
        <w:tab w:val="right" w:leader="dot" w:pos="8630"/>
      </w:tabs>
      <w:spacing w:after="40" w:line="240" w:lineRule="auto"/>
      <w:ind w:left="1008"/>
    </w:pPr>
    <w:rPr>
      <w:noProof w:val="1"/>
    </w:rPr>
  </w:style>
  <w:style w:type="paragraph" w:styleId="TOC9">
    <w:name w:val="toc 9"/>
    <w:basedOn w:val="Normal"/>
    <w:next w:val="Normal"/>
    <w:autoRedefine w:val="1"/>
    <w:uiPriority w:val="99"/>
    <w:semiHidden w:val="1"/>
    <w:unhideWhenUsed w:val="1"/>
    <w:pPr>
      <w:tabs>
        <w:tab w:val="right" w:leader="dot" w:pos="8630"/>
      </w:tabs>
      <w:spacing w:after="40" w:line="240" w:lineRule="auto"/>
      <w:ind w:left="1152"/>
    </w:pPr>
    <w:rPr>
      <w:noProof w:val="1"/>
    </w:rPr>
  </w:style>
  <w:style w:type="paragraph" w:styleId="Category" w:customStyle="1">
    <w:name w:val="Category"/>
    <w:basedOn w:val="Normal"/>
    <w:uiPriority w:val="49"/>
    <w:pPr>
      <w:spacing w:after="0"/>
    </w:pPr>
    <w:rPr>
      <w:b w:val="1"/>
      <w:sz w:val="24"/>
      <w:szCs w:val="24"/>
    </w:rPr>
  </w:style>
  <w:style w:type="paragraph" w:styleId="CompanyName" w:customStyle="1">
    <w:name w:val="Company Name"/>
    <w:basedOn w:val="Normal"/>
    <w:uiPriority w:val="49"/>
    <w:pPr>
      <w:spacing w:after="0"/>
    </w:pPr>
    <w:rPr>
      <w:rFonts w:cstheme="minorHAnsi"/>
      <w:sz w:val="36"/>
      <w:szCs w:val="36"/>
    </w:rPr>
  </w:style>
  <w:style w:type="paragraph" w:styleId="FooterEven" w:customStyle="1">
    <w:name w:val="Footer Even"/>
    <w:basedOn w:val="Normal"/>
    <w:unhideWhenUsed w:val="1"/>
    <w:pPr>
      <w:pBdr>
        <w:top w:color="94b6d2" w:space="1" w:sz="4" w:themeColor="accent1" w:val="single"/>
      </w:pBdr>
    </w:pPr>
    <w:rPr>
      <w:color w:val="775f55" w:themeColor="text2"/>
      <w:sz w:val="20"/>
    </w:rPr>
  </w:style>
  <w:style w:type="paragraph" w:styleId="FooterOdd" w:customStyle="1">
    <w:name w:val="Footer Odd"/>
    <w:basedOn w:val="Normal"/>
    <w:unhideWhenUsed w:val="1"/>
    <w:pPr>
      <w:pBdr>
        <w:top w:color="94b6d2" w:space="1" w:sz="4" w:themeColor="accent1" w:val="single"/>
      </w:pBdr>
      <w:jc w:val="right"/>
    </w:pPr>
    <w:rPr>
      <w:color w:val="775f55" w:themeColor="text2"/>
      <w:sz w:val="20"/>
    </w:rPr>
  </w:style>
  <w:style w:type="paragraph" w:styleId="HeaderEven" w:customStyle="1">
    <w:name w:val="Header Even"/>
    <w:basedOn w:val="Normal"/>
    <w:unhideWhenUsed w:val="1"/>
    <w:pPr>
      <w:pBdr>
        <w:bottom w:color="94b6d2" w:space="1" w:sz="4" w:themeColor="accent1" w:val="single"/>
      </w:pBdr>
      <w:spacing w:after="0" w:line="240" w:lineRule="auto"/>
    </w:pPr>
    <w:rPr>
      <w:rFonts w:eastAsia="Times New Roman"/>
      <w:b w:val="1"/>
      <w:color w:val="775f55" w:themeColor="text2"/>
      <w:sz w:val="20"/>
      <w:szCs w:val="24"/>
      <w:lang w:eastAsia="ko-KR"/>
    </w:rPr>
  </w:style>
  <w:style w:type="paragraph" w:styleId="HeaderOdd" w:customStyle="1">
    <w:name w:val="Header Odd"/>
    <w:basedOn w:val="Normal"/>
    <w:unhideWhenUsed w:val="1"/>
    <w:pPr>
      <w:pBdr>
        <w:bottom w:color="94b6d2" w:space="1" w:sz="4" w:themeColor="accent1" w:val="single"/>
      </w:pBdr>
      <w:spacing w:after="0" w:line="240" w:lineRule="auto"/>
      <w:jc w:val="right"/>
    </w:pPr>
    <w:rPr>
      <w:rFonts w:eastAsia="Times New Roman"/>
      <w:b w:val="1"/>
      <w:color w:val="775f55" w:themeColor="text2"/>
      <w:sz w:val="20"/>
      <w:szCs w:val="24"/>
      <w:lang w:eastAsia="ko-KR"/>
    </w:rPr>
  </w:style>
  <w:style w:type="paragraph" w:styleId="NoSpacing0" w:customStyle="1">
    <w:name w:val="NoSpacing"/>
    <w:basedOn w:val="Normal"/>
    <w:pPr>
      <w:framePr w:lines="0" w:wrap="auto" w:hAnchor="page" w:xAlign="center" w:yAlign="top"/>
      <w:spacing w:after="0" w:line="240" w:lineRule="auto"/>
      <w:suppressOverlap w:val="1"/>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TOCHeading">
    <w:name w:val="TOC Heading"/>
    <w:basedOn w:val="Heading1"/>
    <w:next w:val="Normal"/>
    <w:uiPriority w:val="39"/>
    <w:unhideWhenUsed w:val="1"/>
    <w:qFormat w:val="1"/>
    <w:rsid w:val="00CF2717"/>
    <w:pPr>
      <w:outlineLvl w:val="9"/>
    </w:pPr>
  </w:style>
  <w:style w:type="paragraph" w:styleId="Revision">
    <w:name w:val="Revision"/>
    <w:hidden w:val="1"/>
    <w:uiPriority w:val="99"/>
    <w:semiHidden w:val="1"/>
    <w:rsid w:val="00852520"/>
    <w:pPr>
      <w:spacing w:after="0" w:line="240" w:lineRule="auto"/>
    </w:pPr>
    <w:rPr>
      <w:lang w:eastAsia="ja-JP"/>
    </w:rPr>
  </w:style>
  <w:style w:type="character" w:styleId="CommentReference">
    <w:name w:val="annotation reference"/>
    <w:basedOn w:val="DefaultParagraphFont"/>
    <w:uiPriority w:val="99"/>
    <w:semiHidden w:val="1"/>
    <w:unhideWhenUsed w:val="1"/>
    <w:rsid w:val="00011F35"/>
    <w:rPr>
      <w:sz w:val="16"/>
      <w:szCs w:val="16"/>
    </w:rPr>
  </w:style>
  <w:style w:type="paragraph" w:styleId="CommentText">
    <w:name w:val="annotation text"/>
    <w:basedOn w:val="Normal"/>
    <w:link w:val="CommentTextChar"/>
    <w:uiPriority w:val="99"/>
    <w:unhideWhenUsed w:val="1"/>
    <w:rsid w:val="00011F35"/>
    <w:pPr>
      <w:spacing w:line="240" w:lineRule="auto"/>
    </w:pPr>
    <w:rPr>
      <w:sz w:val="20"/>
    </w:rPr>
  </w:style>
  <w:style w:type="character" w:styleId="CommentTextChar" w:customStyle="1">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val="1"/>
    <w:unhideWhenUsed w:val="1"/>
    <w:rsid w:val="00011F35"/>
    <w:rPr>
      <w:b w:val="1"/>
      <w:bCs w:val="1"/>
    </w:rPr>
  </w:style>
  <w:style w:type="character" w:styleId="CommentSubjectChar" w:customStyle="1">
    <w:name w:val="Comment Subject Char"/>
    <w:basedOn w:val="CommentTextChar"/>
    <w:link w:val="CommentSubject"/>
    <w:uiPriority w:val="99"/>
    <w:semiHidden w:val="1"/>
    <w:rsid w:val="00011F35"/>
    <w:rPr>
      <w:b w:val="1"/>
      <w:bCs w:val="1"/>
      <w:sz w:val="20"/>
      <w:lang w:eastAsia="ja-JP"/>
    </w:rPr>
  </w:style>
  <w:style w:type="character" w:styleId="apple-converted-space" w:customStyle="1">
    <w:name w:val="apple-converted-space"/>
    <w:basedOn w:val="DefaultParagraphFont"/>
    <w:rsid w:val="002D4294"/>
  </w:style>
  <w:style w:type="table" w:styleId="LightGrid">
    <w:name w:val="Light Grid"/>
    <w:basedOn w:val="TableNormal"/>
    <w:uiPriority w:val="62"/>
    <w:rsid w:val="00E974B4"/>
    <w:pPr>
      <w:spacing w:after="0" w:line="240" w:lineRule="auto"/>
    </w:pPr>
    <w:rPr>
      <w:sz w:val="24"/>
      <w:szCs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sz w:val="24"/>
      <w:szCs w:val="24"/>
    </w:rPr>
    <w:tblPr>
      <w:tblStyleRowBandSize w:val="1"/>
      <w:tblStyleColBandSize w:val="1"/>
    </w:tblPr>
    <w:tblStylePr w:type="firstRow">
      <w:pPr>
        <w:spacing w:after="0" w:before="0" w:line="240" w:lineRule="auto"/>
      </w:pPr>
      <w:rPr>
        <w:rFonts w:ascii="Twentieth Century" w:cs="Twentieth Century" w:eastAsia="Twentieth Century" w:hAnsi="Twentieth Century"/>
        <w:b w:val="1"/>
      </w:rPr>
      <w:tblPr/>
      <w:tcPr>
        <w:tcBorders>
          <w:top w:color="000000" w:space="0" w:sz="8" w:val="single"/>
          <w:left w:color="000000" w:space="0" w:sz="8" w:val="single"/>
          <w:bottom w:color="000000" w:space="0" w:sz="18" w:val="single"/>
          <w:right w:color="000000" w:space="0" w:sz="8" w:val="single"/>
          <w:insideH w:space="0" w:sz="0" w:val="nil"/>
          <w:insideV w:color="000000" w:space="0" w:sz="8" w:val="single"/>
        </w:tcBorders>
      </w:tcPr>
    </w:tblStylePr>
    <w:tblStylePr w:type="lastRow">
      <w:pPr>
        <w:spacing w:after="0" w:before="0" w:line="240" w:lineRule="auto"/>
      </w:pPr>
      <w:rPr>
        <w:rFonts w:ascii="Twentieth Century" w:cs="Twentieth Century" w:eastAsia="Twentieth Century" w:hAnsi="Twentieth Century"/>
        <w:b w:val="1"/>
      </w:rPr>
      <w:tblPr/>
      <w:tcPr>
        <w:tcBorders>
          <w:top w:color="000000" w:space="0" w:sz="6" w:val="single"/>
          <w:left w:color="000000" w:space="0" w:sz="8" w:val="single"/>
          <w:bottom w:color="000000" w:space="0" w:sz="8" w:val="single"/>
          <w:right w:color="000000" w:space="0" w:sz="8" w:val="single"/>
          <w:insideH w:space="0" w:sz="0" w:val="nil"/>
          <w:insideV w:color="000000" w:space="0" w:sz="8" w:val="single"/>
        </w:tcBorders>
      </w:tcPr>
    </w:tblStylePr>
    <w:tblStylePr w:type="firstCol">
      <w:rPr>
        <w:rFonts w:ascii="Twentieth Century" w:cs="Twentieth Century" w:eastAsia="Twentieth Century" w:hAnsi="Twentieth Century"/>
        <w:b w:val="1"/>
      </w:rPr>
    </w:tblStylePr>
    <w:tblStylePr w:type="lastCol">
      <w:rPr>
        <w:rFonts w:ascii="Twentieth Century" w:cs="Twentieth Century" w:eastAsia="Twentieth Century" w:hAnsi="Twentieth Century"/>
        <w:b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color="000000" w:space="0" w:sz="8" w:val="single"/>
        </w:tcBorders>
      </w:tcPr>
    </w:tblStyle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Twentieth Century" w:cs="Twentieth Century" w:eastAsia="Twentieth Century" w:hAnsi="Twentieth Century"/>
        <w:b w:val="1"/>
      </w:rPr>
    </w:tblStylePr>
    <w:tblStylePr w:type="firstRow">
      <w:pPr>
        <w:spacing w:after="0" w:before="0" w:line="240" w:lineRule="auto"/>
      </w:pPr>
      <w:rPr>
        <w:rFonts w:ascii="Twentieth Century" w:cs="Twentieth Century" w:eastAsia="Twentieth Century" w:hAnsi="Twentieth Century"/>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Twentieth Century" w:cs="Twentieth Century" w:eastAsia="Twentieth Century" w:hAnsi="Twentieth Century"/>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Twentieth Century" w:cs="Twentieth Century" w:eastAsia="Twentieth Century" w:hAnsi="Twentieth Century"/>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shd w:fill="e9f0f6" w:val="clear"/>
      </w:tcPr>
    </w:tblStylePr>
    <w:tblStylePr w:type="band1Vert">
      <w:tcPr>
        <w:shd w:fill="e9f0f6" w:val="clear"/>
      </w:tcPr>
    </w:tblStylePr>
    <w:tblStylePr w:type="firstCol">
      <w:rPr>
        <w:b w:val="1"/>
      </w:rPr>
    </w:tblStylePr>
    <w:tblStylePr w:type="firstRow">
      <w:rPr>
        <w:b w:val="1"/>
        <w:color w:val="ffffff"/>
      </w:rPr>
      <w:tcPr>
        <w:tcBorders>
          <w:top w:color="94b6d2" w:space="0" w:sz="4" w:val="single"/>
          <w:left w:color="94b6d2" w:space="0" w:sz="4" w:val="single"/>
          <w:bottom w:color="94b6d2" w:space="0" w:sz="4" w:val="single"/>
          <w:right w:color="94b6d2" w:space="0" w:sz="4" w:val="single"/>
          <w:insideH w:color="000000" w:space="0" w:sz="0" w:val="nil"/>
          <w:insideV w:color="000000" w:space="0" w:sz="0" w:val="nil"/>
        </w:tcBorders>
        <w:shd w:fill="94b6d2" w:val="clear"/>
      </w:tcPr>
    </w:tblStylePr>
    <w:tblStylePr w:type="lastCol">
      <w:rPr>
        <w:b w:val="1"/>
      </w:rPr>
    </w:tblStylePr>
    <w:tblStylePr w:type="lastRow">
      <w:rPr>
        <w:b w:val="1"/>
      </w:rPr>
      <w:tcPr>
        <w:tcBorders>
          <w:top w:color="94b6d2"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I7mCxFwTrcieQQRrJEw/dXsSw==">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2021-02-08T15:44:00Z</dcterms:created>
  <dc:creator>Kelvin Espinal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