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1056" w14:textId="77777777" w:rsidR="00613B60" w:rsidRDefault="00C1376E">
      <w:pPr>
        <w:pStyle w:val="Heading1"/>
        <w:spacing w:after="120"/>
        <w:jc w:val="left"/>
        <w:rPr>
          <w:sz w:val="36"/>
          <w:szCs w:val="36"/>
        </w:rPr>
      </w:pPr>
      <w:bookmarkStart w:id="0" w:name="_heading=h.17dp8vu" w:colFirst="0" w:colLast="0"/>
      <w:bookmarkEnd w:id="0"/>
      <w:r>
        <w:rPr>
          <w:sz w:val="36"/>
          <w:szCs w:val="36"/>
        </w:rPr>
        <w:t>results</w:t>
      </w:r>
    </w:p>
    <w:p w14:paraId="5FCA7DCB" w14:textId="77777777" w:rsidR="00613B60" w:rsidRDefault="00613B60"/>
    <w:p w14:paraId="7648CAAE" w14:textId="77777777" w:rsidR="00613B60" w:rsidRDefault="00C1376E">
      <w:pPr>
        <w:spacing w:line="240" w:lineRule="auto"/>
        <w:jc w:val="left"/>
        <w:rPr>
          <w:i/>
          <w:sz w:val="28"/>
          <w:szCs w:val="28"/>
        </w:rPr>
      </w:pPr>
      <w:r>
        <w:rPr>
          <w:i/>
          <w:sz w:val="28"/>
          <w:szCs w:val="28"/>
        </w:rPr>
        <w:t>Significant Variables</w:t>
      </w:r>
    </w:p>
    <w:p w14:paraId="619471AA" w14:textId="77777777" w:rsidR="00613B60" w:rsidRDefault="00C1376E">
      <w:pPr>
        <w:spacing w:line="240" w:lineRule="auto"/>
        <w:jc w:val="left"/>
        <w:rPr>
          <w:i/>
        </w:rPr>
      </w:pPr>
      <w:r>
        <w:t xml:space="preserve">Upon completing association testing and preliminary modeling for each variable in the data set, variables that were determined to have a significant relationship (at a 0.0008 significance level) to the event of a customer purchasing an annuity were ranked </w:t>
      </w:r>
      <w:r>
        <w:t xml:space="preserve">by decreasing level of significance and grouped by class (binary, ordinal, nominal, continuous). At this significance level, we uncovered a total of 28 variables with a </w:t>
      </w:r>
      <w:r>
        <w:rPr>
          <w:i/>
        </w:rPr>
        <w:t>positive relationship to our response (displayed in Table 1).</w:t>
      </w:r>
    </w:p>
    <w:p w14:paraId="16D97BB9" w14:textId="77777777" w:rsidR="00613B60" w:rsidRDefault="00613B60">
      <w:pPr>
        <w:spacing w:line="240" w:lineRule="auto"/>
        <w:jc w:val="left"/>
        <w:rPr>
          <w:i/>
        </w:rPr>
      </w:pPr>
    </w:p>
    <w:p w14:paraId="306C3070" w14:textId="77777777" w:rsidR="00613B60" w:rsidRDefault="00C1376E">
      <w:pPr>
        <w:keepNext/>
        <w:pBdr>
          <w:top w:val="nil"/>
          <w:left w:val="nil"/>
          <w:bottom w:val="nil"/>
          <w:right w:val="nil"/>
          <w:between w:val="nil"/>
        </w:pBdr>
        <w:jc w:val="left"/>
        <w:rPr>
          <w:b/>
          <w:color w:val="000000"/>
          <w:sz w:val="18"/>
          <w:szCs w:val="18"/>
        </w:rPr>
      </w:pPr>
      <w:r>
        <w:rPr>
          <w:b/>
          <w:color w:val="000000"/>
          <w:sz w:val="18"/>
          <w:szCs w:val="18"/>
        </w:rPr>
        <w:t>Table 1: Predictor varia</w:t>
      </w:r>
      <w:r>
        <w:rPr>
          <w:b/>
          <w:color w:val="000000"/>
          <w:sz w:val="18"/>
          <w:szCs w:val="18"/>
        </w:rPr>
        <w:t>bles with significant relationship to Annuity Purchase</w:t>
      </w:r>
    </w:p>
    <w:tbl>
      <w:tblPr>
        <w:tblStyle w:val="a1"/>
        <w:tblW w:w="8275" w:type="dxa"/>
        <w:tblBorders>
          <w:top w:val="single" w:sz="4" w:space="0" w:color="BED3E3"/>
          <w:left w:val="single" w:sz="4" w:space="0" w:color="BED3E3"/>
          <w:bottom w:val="single" w:sz="4" w:space="0" w:color="BED3E3"/>
          <w:right w:val="single" w:sz="4" w:space="0" w:color="BED3E3"/>
          <w:insideH w:val="single" w:sz="4" w:space="0" w:color="BED3E3"/>
          <w:insideV w:val="single" w:sz="4" w:space="0" w:color="BED3E3"/>
        </w:tblBorders>
        <w:tblLayout w:type="fixed"/>
        <w:tblLook w:val="04A0" w:firstRow="1" w:lastRow="0" w:firstColumn="1" w:lastColumn="0" w:noHBand="0" w:noVBand="1"/>
      </w:tblPr>
      <w:tblGrid>
        <w:gridCol w:w="3235"/>
        <w:gridCol w:w="1350"/>
        <w:gridCol w:w="1620"/>
        <w:gridCol w:w="2070"/>
      </w:tblGrid>
      <w:tr w:rsidR="00613B60" w14:paraId="2C5E7F1A" w14:textId="77777777" w:rsidTr="00613B6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418B166C" w14:textId="77777777" w:rsidR="00613B60" w:rsidRDefault="00C1376E">
            <w:pPr>
              <w:spacing w:before="120"/>
              <w:jc w:val="left"/>
              <w:rPr>
                <w:sz w:val="21"/>
                <w:szCs w:val="21"/>
              </w:rPr>
            </w:pPr>
            <w:r>
              <w:rPr>
                <w:sz w:val="21"/>
                <w:szCs w:val="21"/>
              </w:rPr>
              <w:t>Variable Description</w:t>
            </w:r>
          </w:p>
        </w:tc>
        <w:tc>
          <w:tcPr>
            <w:tcW w:w="1350" w:type="dxa"/>
          </w:tcPr>
          <w:p w14:paraId="0FE80FFE" w14:textId="77777777" w:rsidR="00613B60" w:rsidRDefault="00C1376E">
            <w:pPr>
              <w:spacing w:before="120"/>
              <w:jc w:val="left"/>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 xml:space="preserve">P-Value </w:t>
            </w:r>
          </w:p>
        </w:tc>
        <w:tc>
          <w:tcPr>
            <w:tcW w:w="1620" w:type="dxa"/>
          </w:tcPr>
          <w:p w14:paraId="54BA462F" w14:textId="77777777" w:rsidR="00613B60" w:rsidRDefault="00C1376E">
            <w:pPr>
              <w:spacing w:before="120"/>
              <w:jc w:val="left"/>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Class</w:t>
            </w:r>
          </w:p>
        </w:tc>
        <w:tc>
          <w:tcPr>
            <w:tcW w:w="2070" w:type="dxa"/>
          </w:tcPr>
          <w:p w14:paraId="09235AC9" w14:textId="77777777" w:rsidR="00613B60" w:rsidRDefault="00C1376E">
            <w:pPr>
              <w:spacing w:before="120"/>
              <w:jc w:val="left"/>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Test</w:t>
            </w:r>
          </w:p>
        </w:tc>
      </w:tr>
      <w:tr w:rsidR="00613B60" w14:paraId="4AB91151"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403ED71F" w14:textId="77777777" w:rsidR="00613B60" w:rsidRDefault="00C1376E">
            <w:pPr>
              <w:spacing w:before="120"/>
              <w:jc w:val="left"/>
              <w:rPr>
                <w:sz w:val="21"/>
                <w:szCs w:val="21"/>
              </w:rPr>
            </w:pPr>
            <w:r>
              <w:rPr>
                <w:b w:val="0"/>
                <w:sz w:val="21"/>
                <w:szCs w:val="21"/>
              </w:rPr>
              <w:t>Certificate of deposit indicator</w:t>
            </w:r>
          </w:p>
        </w:tc>
        <w:tc>
          <w:tcPr>
            <w:tcW w:w="1350" w:type="dxa"/>
          </w:tcPr>
          <w:p w14:paraId="45CF8F76"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46BF7B7B"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3AF100D0"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3523277C"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38DA1D87" w14:textId="77777777" w:rsidR="00613B60" w:rsidRDefault="00C1376E">
            <w:pPr>
              <w:spacing w:before="120"/>
              <w:jc w:val="left"/>
              <w:rPr>
                <w:sz w:val="21"/>
                <w:szCs w:val="21"/>
              </w:rPr>
            </w:pPr>
            <w:r>
              <w:rPr>
                <w:b w:val="0"/>
                <w:sz w:val="21"/>
                <w:szCs w:val="21"/>
              </w:rPr>
              <w:t>Checking account indicator</w:t>
            </w:r>
          </w:p>
        </w:tc>
        <w:tc>
          <w:tcPr>
            <w:tcW w:w="1350" w:type="dxa"/>
          </w:tcPr>
          <w:p w14:paraId="22AB9A5D"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2C4D9EDA"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Binary</w:t>
            </w:r>
          </w:p>
        </w:tc>
        <w:tc>
          <w:tcPr>
            <w:tcW w:w="2070" w:type="dxa"/>
          </w:tcPr>
          <w:p w14:paraId="38D3EC75"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r w:rsidR="00613B60" w14:paraId="51B38F0F"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20AE97DD" w14:textId="77777777" w:rsidR="00613B60" w:rsidRDefault="00C1376E">
            <w:pPr>
              <w:spacing w:before="120"/>
              <w:jc w:val="left"/>
              <w:rPr>
                <w:sz w:val="21"/>
                <w:szCs w:val="21"/>
              </w:rPr>
            </w:pPr>
            <w:r>
              <w:rPr>
                <w:b w:val="0"/>
                <w:sz w:val="21"/>
                <w:szCs w:val="21"/>
              </w:rPr>
              <w:t>Money market account indicator</w:t>
            </w:r>
          </w:p>
        </w:tc>
        <w:tc>
          <w:tcPr>
            <w:tcW w:w="1350" w:type="dxa"/>
          </w:tcPr>
          <w:p w14:paraId="6504CEA0"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0477CC0F"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02DC1F90"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7B5B47D1"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708411AF" w14:textId="77777777" w:rsidR="00613B60" w:rsidRDefault="00C1376E">
            <w:pPr>
              <w:spacing w:before="120"/>
              <w:jc w:val="left"/>
              <w:rPr>
                <w:sz w:val="21"/>
                <w:szCs w:val="21"/>
              </w:rPr>
            </w:pPr>
            <w:r>
              <w:rPr>
                <w:b w:val="0"/>
                <w:sz w:val="21"/>
                <w:szCs w:val="21"/>
              </w:rPr>
              <w:t>Monet market account balance</w:t>
            </w:r>
          </w:p>
        </w:tc>
        <w:tc>
          <w:tcPr>
            <w:tcW w:w="1350" w:type="dxa"/>
          </w:tcPr>
          <w:p w14:paraId="15A75240"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4F0B1579"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7743B3F2"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4F0E995B"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77DF1555" w14:textId="77777777" w:rsidR="00613B60" w:rsidRDefault="00C1376E">
            <w:pPr>
              <w:spacing w:before="120"/>
              <w:jc w:val="left"/>
              <w:rPr>
                <w:sz w:val="21"/>
                <w:szCs w:val="21"/>
              </w:rPr>
            </w:pPr>
            <w:r>
              <w:rPr>
                <w:b w:val="0"/>
                <w:sz w:val="21"/>
                <w:szCs w:val="21"/>
              </w:rPr>
              <w:t>Savings account indicator</w:t>
            </w:r>
          </w:p>
        </w:tc>
        <w:tc>
          <w:tcPr>
            <w:tcW w:w="1350" w:type="dxa"/>
          </w:tcPr>
          <w:p w14:paraId="44425A2F"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408AA41A"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21C649EC"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61EE10F5"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7E1E21DB" w14:textId="77777777" w:rsidR="00613B60" w:rsidRDefault="00C1376E">
            <w:pPr>
              <w:spacing w:before="120"/>
              <w:jc w:val="left"/>
              <w:rPr>
                <w:sz w:val="21"/>
                <w:szCs w:val="21"/>
              </w:rPr>
            </w:pPr>
            <w:r>
              <w:rPr>
                <w:b w:val="0"/>
                <w:sz w:val="21"/>
                <w:szCs w:val="21"/>
              </w:rPr>
              <w:t>Number of checking deposits</w:t>
            </w:r>
          </w:p>
        </w:tc>
        <w:tc>
          <w:tcPr>
            <w:tcW w:w="1350" w:type="dxa"/>
          </w:tcPr>
          <w:p w14:paraId="6505BAAE"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27D7833F"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11D2E028"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25C62FFC"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050D6A36" w14:textId="77777777" w:rsidR="00613B60" w:rsidRDefault="00C1376E">
            <w:pPr>
              <w:spacing w:before="120"/>
              <w:jc w:val="left"/>
              <w:rPr>
                <w:sz w:val="21"/>
                <w:szCs w:val="21"/>
              </w:rPr>
            </w:pPr>
            <w:r>
              <w:rPr>
                <w:b w:val="0"/>
                <w:sz w:val="21"/>
                <w:szCs w:val="21"/>
              </w:rPr>
              <w:t>Retirement account indicator</w:t>
            </w:r>
          </w:p>
        </w:tc>
        <w:tc>
          <w:tcPr>
            <w:tcW w:w="1350" w:type="dxa"/>
          </w:tcPr>
          <w:p w14:paraId="6EB05FF9"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7F5EC2CC"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71640950"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41F25028"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3F2B9C01" w14:textId="77777777" w:rsidR="00613B60" w:rsidRDefault="00C1376E">
            <w:pPr>
              <w:spacing w:before="120"/>
              <w:jc w:val="left"/>
              <w:rPr>
                <w:sz w:val="21"/>
                <w:szCs w:val="21"/>
              </w:rPr>
            </w:pPr>
            <w:r>
              <w:rPr>
                <w:b w:val="0"/>
                <w:sz w:val="21"/>
                <w:szCs w:val="21"/>
              </w:rPr>
              <w:t>Certificate of deposit balance</w:t>
            </w:r>
          </w:p>
        </w:tc>
        <w:tc>
          <w:tcPr>
            <w:tcW w:w="1350" w:type="dxa"/>
          </w:tcPr>
          <w:p w14:paraId="070CBAD1"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0E679F59"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3858CE62"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4725FBB4"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07F9DE1C" w14:textId="77777777" w:rsidR="00613B60" w:rsidRDefault="00C1376E">
            <w:pPr>
              <w:spacing w:before="120"/>
              <w:jc w:val="left"/>
              <w:rPr>
                <w:sz w:val="21"/>
                <w:szCs w:val="21"/>
              </w:rPr>
            </w:pPr>
            <w:r>
              <w:rPr>
                <w:b w:val="0"/>
                <w:sz w:val="21"/>
                <w:szCs w:val="21"/>
              </w:rPr>
              <w:t>Credit card indicator</w:t>
            </w:r>
          </w:p>
        </w:tc>
        <w:tc>
          <w:tcPr>
            <w:tcW w:w="1350" w:type="dxa"/>
          </w:tcPr>
          <w:p w14:paraId="17CA87E7"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4FCC7771"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720F11AD"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3C1374AB"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17360AED" w14:textId="77777777" w:rsidR="00613B60" w:rsidRDefault="00C1376E">
            <w:pPr>
              <w:spacing w:before="120"/>
              <w:jc w:val="left"/>
              <w:rPr>
                <w:sz w:val="21"/>
                <w:szCs w:val="21"/>
              </w:rPr>
            </w:pPr>
            <w:r>
              <w:rPr>
                <w:b w:val="0"/>
                <w:sz w:val="21"/>
                <w:szCs w:val="21"/>
              </w:rPr>
              <w:t>ATM interaction indicator</w:t>
            </w:r>
          </w:p>
        </w:tc>
        <w:tc>
          <w:tcPr>
            <w:tcW w:w="1350" w:type="dxa"/>
          </w:tcPr>
          <w:p w14:paraId="0F4DD41B"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37CED784"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Binary</w:t>
            </w:r>
          </w:p>
        </w:tc>
        <w:tc>
          <w:tcPr>
            <w:tcW w:w="2070" w:type="dxa"/>
          </w:tcPr>
          <w:p w14:paraId="152EB647"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r w:rsidR="00613B60" w14:paraId="3C321AB5"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516FAAC6" w14:textId="77777777" w:rsidR="00613B60" w:rsidRDefault="00C1376E">
            <w:pPr>
              <w:spacing w:before="120"/>
              <w:jc w:val="left"/>
              <w:rPr>
                <w:sz w:val="21"/>
                <w:szCs w:val="21"/>
              </w:rPr>
            </w:pPr>
            <w:r>
              <w:rPr>
                <w:b w:val="0"/>
                <w:sz w:val="21"/>
                <w:szCs w:val="21"/>
              </w:rPr>
              <w:t>Checking account balance</w:t>
            </w:r>
          </w:p>
        </w:tc>
        <w:tc>
          <w:tcPr>
            <w:tcW w:w="1350" w:type="dxa"/>
          </w:tcPr>
          <w:p w14:paraId="43F741ED"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7FA8EC52"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Continuous</w:t>
            </w:r>
          </w:p>
        </w:tc>
        <w:tc>
          <w:tcPr>
            <w:tcW w:w="2070" w:type="dxa"/>
          </w:tcPr>
          <w:p w14:paraId="0E7F1415"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Logistic Regression</w:t>
            </w:r>
          </w:p>
        </w:tc>
      </w:tr>
      <w:tr w:rsidR="00613B60" w14:paraId="7BB25DFE"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69376A9E" w14:textId="77777777" w:rsidR="00613B60" w:rsidRDefault="00C1376E">
            <w:pPr>
              <w:spacing w:before="120"/>
              <w:jc w:val="left"/>
              <w:rPr>
                <w:sz w:val="21"/>
                <w:szCs w:val="21"/>
              </w:rPr>
            </w:pPr>
            <w:r>
              <w:rPr>
                <w:b w:val="0"/>
                <w:sz w:val="21"/>
                <w:szCs w:val="21"/>
              </w:rPr>
              <w:t>Investment account indicator</w:t>
            </w:r>
          </w:p>
        </w:tc>
        <w:tc>
          <w:tcPr>
            <w:tcW w:w="1350" w:type="dxa"/>
          </w:tcPr>
          <w:p w14:paraId="0E021993"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019BDEA5"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Binary</w:t>
            </w:r>
          </w:p>
        </w:tc>
        <w:tc>
          <w:tcPr>
            <w:tcW w:w="2070" w:type="dxa"/>
          </w:tcPr>
          <w:p w14:paraId="53B902EF"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r w:rsidR="00613B60" w14:paraId="4A281393"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04CCD668" w14:textId="77777777" w:rsidR="00613B60" w:rsidRDefault="00C1376E">
            <w:pPr>
              <w:spacing w:before="120"/>
              <w:jc w:val="left"/>
              <w:rPr>
                <w:sz w:val="21"/>
                <w:szCs w:val="21"/>
              </w:rPr>
            </w:pPr>
            <w:r>
              <w:rPr>
                <w:b w:val="0"/>
                <w:sz w:val="21"/>
                <w:szCs w:val="21"/>
              </w:rPr>
              <w:t>Number of telephone transactions</w:t>
            </w:r>
          </w:p>
        </w:tc>
        <w:tc>
          <w:tcPr>
            <w:tcW w:w="1350" w:type="dxa"/>
          </w:tcPr>
          <w:p w14:paraId="414A1472"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51FF29E3"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Continuous</w:t>
            </w:r>
          </w:p>
        </w:tc>
        <w:tc>
          <w:tcPr>
            <w:tcW w:w="2070" w:type="dxa"/>
          </w:tcPr>
          <w:p w14:paraId="44F6C673"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Logistic Regression</w:t>
            </w:r>
          </w:p>
        </w:tc>
      </w:tr>
      <w:tr w:rsidR="00613B60" w14:paraId="1415D522"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7E83DA85" w14:textId="77777777" w:rsidR="00613B60" w:rsidRDefault="00C1376E">
            <w:pPr>
              <w:spacing w:before="120"/>
              <w:jc w:val="left"/>
              <w:rPr>
                <w:sz w:val="21"/>
                <w:szCs w:val="21"/>
              </w:rPr>
            </w:pPr>
            <w:r>
              <w:rPr>
                <w:b w:val="0"/>
                <w:sz w:val="21"/>
                <w:szCs w:val="21"/>
              </w:rPr>
              <w:t>Number of money market credits</w:t>
            </w:r>
          </w:p>
        </w:tc>
        <w:tc>
          <w:tcPr>
            <w:tcW w:w="1350" w:type="dxa"/>
          </w:tcPr>
          <w:p w14:paraId="236324A4"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2D817907"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Ordinal</w:t>
            </w:r>
          </w:p>
        </w:tc>
        <w:tc>
          <w:tcPr>
            <w:tcW w:w="2070" w:type="dxa"/>
          </w:tcPr>
          <w:p w14:paraId="5B0CC607"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r w:rsidR="00613B60" w14:paraId="0E2428CD"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249E43FB" w14:textId="77777777" w:rsidR="00613B60" w:rsidRDefault="00C1376E">
            <w:pPr>
              <w:spacing w:before="120"/>
              <w:jc w:val="left"/>
              <w:rPr>
                <w:sz w:val="21"/>
                <w:szCs w:val="21"/>
              </w:rPr>
            </w:pPr>
            <w:r>
              <w:rPr>
                <w:b w:val="0"/>
                <w:sz w:val="21"/>
                <w:szCs w:val="21"/>
              </w:rPr>
              <w:t>Branch of bank</w:t>
            </w:r>
          </w:p>
        </w:tc>
        <w:tc>
          <w:tcPr>
            <w:tcW w:w="1350" w:type="dxa"/>
          </w:tcPr>
          <w:p w14:paraId="66A2CAB9"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0E48138C"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Nominal</w:t>
            </w:r>
          </w:p>
        </w:tc>
        <w:tc>
          <w:tcPr>
            <w:tcW w:w="2070" w:type="dxa"/>
          </w:tcPr>
          <w:p w14:paraId="7E228A64"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Chi Squared</w:t>
            </w:r>
          </w:p>
        </w:tc>
      </w:tr>
      <w:tr w:rsidR="00613B60" w14:paraId="0261E719"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1C3DE75D" w14:textId="77777777" w:rsidR="00613B60" w:rsidRDefault="00C1376E">
            <w:pPr>
              <w:spacing w:before="120"/>
              <w:jc w:val="left"/>
              <w:rPr>
                <w:sz w:val="21"/>
                <w:szCs w:val="21"/>
              </w:rPr>
            </w:pPr>
            <w:r>
              <w:rPr>
                <w:b w:val="0"/>
                <w:sz w:val="21"/>
                <w:szCs w:val="21"/>
              </w:rPr>
              <w:t>Value of home</w:t>
            </w:r>
          </w:p>
        </w:tc>
        <w:tc>
          <w:tcPr>
            <w:tcW w:w="1350" w:type="dxa"/>
          </w:tcPr>
          <w:p w14:paraId="0DE198AE"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22AB000A"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152D3549"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7B7DCA28"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00EB58B1" w14:textId="77777777" w:rsidR="00613B60" w:rsidRDefault="00C1376E">
            <w:pPr>
              <w:spacing w:before="120"/>
              <w:jc w:val="left"/>
              <w:rPr>
                <w:sz w:val="21"/>
                <w:szCs w:val="21"/>
              </w:rPr>
            </w:pPr>
            <w:r>
              <w:rPr>
                <w:b w:val="0"/>
                <w:sz w:val="21"/>
                <w:szCs w:val="21"/>
              </w:rPr>
              <w:t>Number of checks written</w:t>
            </w:r>
          </w:p>
        </w:tc>
        <w:tc>
          <w:tcPr>
            <w:tcW w:w="1350" w:type="dxa"/>
          </w:tcPr>
          <w:p w14:paraId="5FB63107"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6B83C941"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Continuous</w:t>
            </w:r>
          </w:p>
        </w:tc>
        <w:tc>
          <w:tcPr>
            <w:tcW w:w="2070" w:type="dxa"/>
          </w:tcPr>
          <w:p w14:paraId="39CCA90A"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Logistic Regression</w:t>
            </w:r>
          </w:p>
        </w:tc>
      </w:tr>
      <w:tr w:rsidR="00613B60" w14:paraId="5CCD8CD5"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23C16575" w14:textId="77777777" w:rsidR="00613B60" w:rsidRDefault="00C1376E">
            <w:pPr>
              <w:spacing w:before="120"/>
              <w:jc w:val="left"/>
              <w:rPr>
                <w:sz w:val="21"/>
                <w:szCs w:val="21"/>
              </w:rPr>
            </w:pPr>
            <w:r>
              <w:rPr>
                <w:b w:val="0"/>
                <w:sz w:val="21"/>
                <w:szCs w:val="21"/>
              </w:rPr>
              <w:t>IRA balance</w:t>
            </w:r>
          </w:p>
        </w:tc>
        <w:tc>
          <w:tcPr>
            <w:tcW w:w="1350" w:type="dxa"/>
          </w:tcPr>
          <w:p w14:paraId="4D5DF5F8"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28B21B57"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53CF8FD4"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09DF4E06"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54A0B8E5" w14:textId="77777777" w:rsidR="00613B60" w:rsidRDefault="00C1376E">
            <w:pPr>
              <w:spacing w:before="120"/>
              <w:jc w:val="left"/>
              <w:rPr>
                <w:sz w:val="21"/>
                <w:szCs w:val="21"/>
              </w:rPr>
            </w:pPr>
            <w:r>
              <w:rPr>
                <w:b w:val="0"/>
                <w:sz w:val="21"/>
                <w:szCs w:val="21"/>
              </w:rPr>
              <w:t>Direct deposit indicator</w:t>
            </w:r>
          </w:p>
        </w:tc>
        <w:tc>
          <w:tcPr>
            <w:tcW w:w="1350" w:type="dxa"/>
          </w:tcPr>
          <w:p w14:paraId="34E20A26"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5EAC2F4A"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0E9F21C5"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72FEB33F"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56C0EC48" w14:textId="77777777" w:rsidR="00613B60" w:rsidRDefault="00C1376E">
            <w:pPr>
              <w:spacing w:before="120"/>
              <w:jc w:val="left"/>
              <w:rPr>
                <w:sz w:val="21"/>
                <w:szCs w:val="21"/>
              </w:rPr>
            </w:pPr>
            <w:r>
              <w:rPr>
                <w:b w:val="0"/>
                <w:sz w:val="21"/>
                <w:szCs w:val="21"/>
              </w:rPr>
              <w:t>Number of insufficient fund issues</w:t>
            </w:r>
          </w:p>
        </w:tc>
        <w:tc>
          <w:tcPr>
            <w:tcW w:w="1350" w:type="dxa"/>
          </w:tcPr>
          <w:p w14:paraId="42357786"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183722B4"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Binary</w:t>
            </w:r>
          </w:p>
        </w:tc>
        <w:tc>
          <w:tcPr>
            <w:tcW w:w="2070" w:type="dxa"/>
          </w:tcPr>
          <w:p w14:paraId="163B10C3"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r w:rsidR="00613B60" w14:paraId="40807884"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302F70BF" w14:textId="77777777" w:rsidR="00613B60" w:rsidRDefault="00C1376E">
            <w:pPr>
              <w:spacing w:before="120"/>
              <w:jc w:val="left"/>
              <w:rPr>
                <w:sz w:val="21"/>
                <w:szCs w:val="21"/>
              </w:rPr>
            </w:pPr>
            <w:r>
              <w:rPr>
                <w:b w:val="0"/>
                <w:sz w:val="21"/>
                <w:szCs w:val="21"/>
              </w:rPr>
              <w:t>Number of credit card purchases</w:t>
            </w:r>
          </w:p>
        </w:tc>
        <w:tc>
          <w:tcPr>
            <w:tcW w:w="1350" w:type="dxa"/>
          </w:tcPr>
          <w:p w14:paraId="270528C7"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0BFA2886"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Ordinal</w:t>
            </w:r>
          </w:p>
        </w:tc>
        <w:tc>
          <w:tcPr>
            <w:tcW w:w="2070" w:type="dxa"/>
          </w:tcPr>
          <w:p w14:paraId="16F14212"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1C0F3F44"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1B9C40D7" w14:textId="77777777" w:rsidR="00613B60" w:rsidRDefault="00C1376E">
            <w:pPr>
              <w:spacing w:before="120"/>
              <w:jc w:val="left"/>
              <w:rPr>
                <w:sz w:val="21"/>
                <w:szCs w:val="21"/>
              </w:rPr>
            </w:pPr>
            <w:r>
              <w:rPr>
                <w:b w:val="0"/>
                <w:sz w:val="21"/>
                <w:szCs w:val="21"/>
              </w:rPr>
              <w:t>Safety deposit box indicator</w:t>
            </w:r>
          </w:p>
        </w:tc>
        <w:tc>
          <w:tcPr>
            <w:tcW w:w="1350" w:type="dxa"/>
          </w:tcPr>
          <w:p w14:paraId="54702643"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0.000000</w:t>
            </w:r>
          </w:p>
        </w:tc>
        <w:tc>
          <w:tcPr>
            <w:tcW w:w="1620" w:type="dxa"/>
          </w:tcPr>
          <w:p w14:paraId="6D78ADFB"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Binary</w:t>
            </w:r>
          </w:p>
        </w:tc>
        <w:tc>
          <w:tcPr>
            <w:tcW w:w="2070" w:type="dxa"/>
          </w:tcPr>
          <w:p w14:paraId="49B767A0"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r w:rsidR="00613B60" w14:paraId="2E31AF4D"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0FFADAE3" w14:textId="77777777" w:rsidR="00613B60" w:rsidRDefault="00C1376E">
            <w:pPr>
              <w:spacing w:before="120"/>
              <w:jc w:val="left"/>
              <w:rPr>
                <w:sz w:val="21"/>
                <w:szCs w:val="21"/>
              </w:rPr>
            </w:pPr>
            <w:r>
              <w:rPr>
                <w:b w:val="0"/>
                <w:sz w:val="21"/>
                <w:szCs w:val="21"/>
              </w:rPr>
              <w:t>Total ATM withdrawal amount</w:t>
            </w:r>
          </w:p>
        </w:tc>
        <w:tc>
          <w:tcPr>
            <w:tcW w:w="1350" w:type="dxa"/>
          </w:tcPr>
          <w:p w14:paraId="25ABFF5F"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0.000000</w:t>
            </w:r>
          </w:p>
        </w:tc>
        <w:tc>
          <w:tcPr>
            <w:tcW w:w="1620" w:type="dxa"/>
          </w:tcPr>
          <w:p w14:paraId="5270AF3C"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Continuous</w:t>
            </w:r>
          </w:p>
        </w:tc>
        <w:tc>
          <w:tcPr>
            <w:tcW w:w="2070" w:type="dxa"/>
          </w:tcPr>
          <w:p w14:paraId="47FF74D3"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Logistic Regression</w:t>
            </w:r>
          </w:p>
        </w:tc>
      </w:tr>
      <w:tr w:rsidR="00613B60" w14:paraId="681DF72B"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431EDEFC" w14:textId="77777777" w:rsidR="00613B60" w:rsidRDefault="00C1376E">
            <w:pPr>
              <w:spacing w:before="120"/>
              <w:jc w:val="left"/>
              <w:rPr>
                <w:sz w:val="21"/>
                <w:szCs w:val="21"/>
              </w:rPr>
            </w:pPr>
            <w:r>
              <w:rPr>
                <w:b w:val="0"/>
                <w:sz w:val="21"/>
                <w:szCs w:val="21"/>
              </w:rPr>
              <w:t>Number of point-of-sale transactions</w:t>
            </w:r>
          </w:p>
        </w:tc>
        <w:tc>
          <w:tcPr>
            <w:tcW w:w="1350" w:type="dxa"/>
          </w:tcPr>
          <w:p w14:paraId="125D445D"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0.000001</w:t>
            </w:r>
          </w:p>
        </w:tc>
        <w:tc>
          <w:tcPr>
            <w:tcW w:w="1620" w:type="dxa"/>
          </w:tcPr>
          <w:p w14:paraId="1F145CF5"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6B3EED2E"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5954104C"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60A01764" w14:textId="77777777" w:rsidR="00613B60" w:rsidRDefault="00C1376E">
            <w:pPr>
              <w:spacing w:before="120"/>
              <w:jc w:val="left"/>
              <w:rPr>
                <w:sz w:val="21"/>
                <w:szCs w:val="21"/>
              </w:rPr>
            </w:pPr>
            <w:r>
              <w:rPr>
                <w:b w:val="0"/>
                <w:sz w:val="21"/>
                <w:szCs w:val="21"/>
              </w:rPr>
              <w:lastRenderedPageBreak/>
              <w:t>Local address indicator</w:t>
            </w:r>
          </w:p>
        </w:tc>
        <w:tc>
          <w:tcPr>
            <w:tcW w:w="1350" w:type="dxa"/>
          </w:tcPr>
          <w:p w14:paraId="78AE514F"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0.000001</w:t>
            </w:r>
          </w:p>
        </w:tc>
        <w:tc>
          <w:tcPr>
            <w:tcW w:w="1620" w:type="dxa"/>
          </w:tcPr>
          <w:p w14:paraId="527238D0"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Binary</w:t>
            </w:r>
          </w:p>
        </w:tc>
        <w:tc>
          <w:tcPr>
            <w:tcW w:w="2070" w:type="dxa"/>
          </w:tcPr>
          <w:p w14:paraId="02FA59CF"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Mantel-Haenszel</w:t>
            </w:r>
          </w:p>
        </w:tc>
      </w:tr>
      <w:tr w:rsidR="00613B60" w14:paraId="5D4CFE23"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09021300" w14:textId="77777777" w:rsidR="00613B60" w:rsidRDefault="00C1376E">
            <w:pPr>
              <w:spacing w:before="120"/>
              <w:jc w:val="left"/>
              <w:rPr>
                <w:sz w:val="21"/>
                <w:szCs w:val="21"/>
              </w:rPr>
            </w:pPr>
            <w:r>
              <w:rPr>
                <w:b w:val="0"/>
                <w:sz w:val="21"/>
                <w:szCs w:val="21"/>
              </w:rPr>
              <w:t>Amount of NSF</w:t>
            </w:r>
          </w:p>
        </w:tc>
        <w:tc>
          <w:tcPr>
            <w:tcW w:w="1350" w:type="dxa"/>
          </w:tcPr>
          <w:p w14:paraId="2F9F93E2"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0.000135</w:t>
            </w:r>
          </w:p>
        </w:tc>
        <w:tc>
          <w:tcPr>
            <w:tcW w:w="1620" w:type="dxa"/>
          </w:tcPr>
          <w:p w14:paraId="17F91760"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Continuous</w:t>
            </w:r>
          </w:p>
        </w:tc>
        <w:tc>
          <w:tcPr>
            <w:tcW w:w="2070" w:type="dxa"/>
          </w:tcPr>
          <w:p w14:paraId="4A028249"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Logistic Regression</w:t>
            </w:r>
          </w:p>
        </w:tc>
      </w:tr>
      <w:tr w:rsidR="00613B60" w14:paraId="02C9B0BA"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35" w:type="dxa"/>
          </w:tcPr>
          <w:p w14:paraId="6DBE79D3" w14:textId="77777777" w:rsidR="00613B60" w:rsidRDefault="00C1376E">
            <w:pPr>
              <w:spacing w:before="120"/>
              <w:jc w:val="left"/>
              <w:rPr>
                <w:sz w:val="21"/>
                <w:szCs w:val="21"/>
              </w:rPr>
            </w:pPr>
            <w:r>
              <w:rPr>
                <w:b w:val="0"/>
                <w:sz w:val="21"/>
                <w:szCs w:val="21"/>
              </w:rPr>
              <w:t>Total amount deposited</w:t>
            </w:r>
          </w:p>
        </w:tc>
        <w:tc>
          <w:tcPr>
            <w:tcW w:w="1350" w:type="dxa"/>
          </w:tcPr>
          <w:p w14:paraId="3F54902F"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0.000372</w:t>
            </w:r>
          </w:p>
        </w:tc>
        <w:tc>
          <w:tcPr>
            <w:tcW w:w="1620" w:type="dxa"/>
          </w:tcPr>
          <w:p w14:paraId="2A2C30B8"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Continuous</w:t>
            </w:r>
          </w:p>
        </w:tc>
        <w:tc>
          <w:tcPr>
            <w:tcW w:w="2070" w:type="dxa"/>
          </w:tcPr>
          <w:p w14:paraId="7C55CDEB"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Logistic Regression</w:t>
            </w:r>
          </w:p>
        </w:tc>
      </w:tr>
      <w:tr w:rsidR="00613B60" w14:paraId="3C88BAB6"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3235" w:type="dxa"/>
          </w:tcPr>
          <w:p w14:paraId="0E8D88E5" w14:textId="77777777" w:rsidR="00613B60" w:rsidRDefault="00C1376E">
            <w:pPr>
              <w:spacing w:before="120"/>
              <w:jc w:val="left"/>
              <w:rPr>
                <w:sz w:val="21"/>
                <w:szCs w:val="21"/>
              </w:rPr>
            </w:pPr>
            <w:r>
              <w:rPr>
                <w:b w:val="0"/>
                <w:sz w:val="21"/>
                <w:szCs w:val="21"/>
              </w:rPr>
              <w:t>Number of cash back requests</w:t>
            </w:r>
          </w:p>
        </w:tc>
        <w:tc>
          <w:tcPr>
            <w:tcW w:w="1350" w:type="dxa"/>
          </w:tcPr>
          <w:p w14:paraId="66C96AF2"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0.000706</w:t>
            </w:r>
          </w:p>
        </w:tc>
        <w:tc>
          <w:tcPr>
            <w:tcW w:w="1620" w:type="dxa"/>
          </w:tcPr>
          <w:p w14:paraId="5818A7C5"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Ordinal</w:t>
            </w:r>
          </w:p>
        </w:tc>
        <w:tc>
          <w:tcPr>
            <w:tcW w:w="2070" w:type="dxa"/>
          </w:tcPr>
          <w:p w14:paraId="44E912F3"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Mantel-Haenszel</w:t>
            </w:r>
          </w:p>
        </w:tc>
      </w:tr>
    </w:tbl>
    <w:p w14:paraId="646FA810" w14:textId="77777777" w:rsidR="00613B60" w:rsidRDefault="00613B60">
      <w:pPr>
        <w:spacing w:line="240" w:lineRule="auto"/>
        <w:jc w:val="left"/>
      </w:pPr>
    </w:p>
    <w:p w14:paraId="2A8F66C0" w14:textId="77777777" w:rsidR="00613B60" w:rsidRDefault="00613B60">
      <w:pPr>
        <w:spacing w:line="240" w:lineRule="auto"/>
        <w:jc w:val="left"/>
      </w:pPr>
    </w:p>
    <w:p w14:paraId="5A658DAB" w14:textId="77777777" w:rsidR="00613B60" w:rsidRDefault="00C1376E">
      <w:pPr>
        <w:spacing w:line="240" w:lineRule="auto"/>
        <w:jc w:val="left"/>
        <w:rPr>
          <w:i/>
          <w:sz w:val="28"/>
          <w:szCs w:val="28"/>
        </w:rPr>
      </w:pPr>
      <w:r>
        <w:rPr>
          <w:i/>
          <w:sz w:val="28"/>
          <w:szCs w:val="28"/>
        </w:rPr>
        <w:t>Odds Ratios</w:t>
      </w:r>
    </w:p>
    <w:p w14:paraId="04F8C2A0" w14:textId="77777777" w:rsidR="00613B60" w:rsidRDefault="00C1376E">
      <w:pPr>
        <w:spacing w:line="240" w:lineRule="auto"/>
        <w:jc w:val="left"/>
      </w:pPr>
      <w:r>
        <w:t>After calculating odds ratios, these values were also ranked in decreasing order for each of the 17 binary predictor variables in the data set and are displayed in Table 2. Row one of the table shows that the investment account indicator has the largest od</w:t>
      </w:r>
      <w:r>
        <w:t xml:space="preserve">ds ratio, and from this we interpreted that customers with an investment account are approximately 3 and a half times more likely to purchase an annuity then customers without an investment account. In general, it appears that customers who participate in </w:t>
      </w:r>
      <w:r>
        <w:t>some form of saving or investing have higher odds of purchasing an annuity than customers that don’t.</w:t>
      </w:r>
    </w:p>
    <w:p w14:paraId="564F1E02" w14:textId="77777777" w:rsidR="00613B60" w:rsidRDefault="00613B60">
      <w:pPr>
        <w:spacing w:line="240" w:lineRule="auto"/>
        <w:jc w:val="left"/>
        <w:rPr>
          <w:sz w:val="28"/>
          <w:szCs w:val="28"/>
        </w:rPr>
      </w:pPr>
    </w:p>
    <w:p w14:paraId="343F212C" w14:textId="77777777" w:rsidR="00613B60" w:rsidRDefault="00C1376E">
      <w:pPr>
        <w:spacing w:line="240" w:lineRule="auto"/>
        <w:jc w:val="left"/>
        <w:rPr>
          <w:i/>
          <w:sz w:val="28"/>
          <w:szCs w:val="28"/>
        </w:rPr>
      </w:pPr>
      <w:r>
        <w:rPr>
          <w:i/>
          <w:sz w:val="28"/>
          <w:szCs w:val="28"/>
        </w:rPr>
        <w:t>Linearity Assumption</w:t>
      </w:r>
    </w:p>
    <w:p w14:paraId="74E864C8" w14:textId="77777777" w:rsidR="00613B60" w:rsidRDefault="00C1376E">
      <w:pPr>
        <w:spacing w:line="240" w:lineRule="auto"/>
        <w:jc w:val="left"/>
      </w:pPr>
      <w:r>
        <w:t>Testing of the linearity assumption for continuous variables revealed that of the 25 continuous variables, only nine of them met the</w:t>
      </w:r>
      <w:r>
        <w:t xml:space="preserve"> assumption of linearity of the logit function. These variables are listed in Table 3.</w:t>
      </w:r>
    </w:p>
    <w:p w14:paraId="126F37A8" w14:textId="77777777" w:rsidR="00613B60" w:rsidRDefault="00613B60">
      <w:pPr>
        <w:spacing w:line="240" w:lineRule="auto"/>
        <w:jc w:val="left"/>
      </w:pPr>
    </w:p>
    <w:p w14:paraId="4FB6EA31" w14:textId="77777777" w:rsidR="00613B60" w:rsidRDefault="00C1376E">
      <w:pPr>
        <w:keepNext/>
        <w:pBdr>
          <w:top w:val="nil"/>
          <w:left w:val="nil"/>
          <w:bottom w:val="nil"/>
          <w:right w:val="nil"/>
          <w:between w:val="nil"/>
        </w:pBdr>
        <w:jc w:val="left"/>
        <w:rPr>
          <w:b/>
          <w:color w:val="000000"/>
          <w:sz w:val="18"/>
          <w:szCs w:val="18"/>
        </w:rPr>
      </w:pPr>
      <w:r>
        <w:rPr>
          <w:b/>
          <w:color w:val="000000"/>
          <w:sz w:val="18"/>
          <w:szCs w:val="18"/>
        </w:rPr>
        <w:t>Table 3: Continuous predictors failing to meet linearity assumption and their associated p-values</w:t>
      </w:r>
    </w:p>
    <w:tbl>
      <w:tblPr>
        <w:tblStyle w:val="a2"/>
        <w:tblW w:w="3415" w:type="dxa"/>
        <w:tblBorders>
          <w:top w:val="single" w:sz="4" w:space="0" w:color="BED3E3"/>
          <w:left w:val="single" w:sz="4" w:space="0" w:color="BED3E3"/>
          <w:bottom w:val="single" w:sz="4" w:space="0" w:color="BED3E3"/>
          <w:right w:val="single" w:sz="4" w:space="0" w:color="BED3E3"/>
          <w:insideH w:val="single" w:sz="4" w:space="0" w:color="BED3E3"/>
          <w:insideV w:val="single" w:sz="4" w:space="0" w:color="BED3E3"/>
        </w:tblBorders>
        <w:tblLayout w:type="fixed"/>
        <w:tblLook w:val="04A0" w:firstRow="1" w:lastRow="0" w:firstColumn="1" w:lastColumn="0" w:noHBand="0" w:noVBand="1"/>
      </w:tblPr>
      <w:tblGrid>
        <w:gridCol w:w="2335"/>
        <w:gridCol w:w="1080"/>
      </w:tblGrid>
      <w:tr w:rsidR="00613B60" w14:paraId="4AD07CE2" w14:textId="77777777" w:rsidTr="00613B6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35" w:type="dxa"/>
          </w:tcPr>
          <w:p w14:paraId="3743428D" w14:textId="77777777" w:rsidR="00613B60" w:rsidRDefault="00C1376E">
            <w:pPr>
              <w:spacing w:before="120"/>
              <w:jc w:val="left"/>
              <w:rPr>
                <w:sz w:val="21"/>
                <w:szCs w:val="21"/>
              </w:rPr>
            </w:pPr>
            <w:r>
              <w:rPr>
                <w:sz w:val="21"/>
                <w:szCs w:val="21"/>
              </w:rPr>
              <w:t>Variable Description</w:t>
            </w:r>
          </w:p>
        </w:tc>
        <w:tc>
          <w:tcPr>
            <w:tcW w:w="1080" w:type="dxa"/>
          </w:tcPr>
          <w:p w14:paraId="2A5CF284" w14:textId="77777777" w:rsidR="00613B60" w:rsidRDefault="00C1376E">
            <w:pPr>
              <w:spacing w:before="120"/>
              <w:jc w:val="left"/>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 xml:space="preserve">P-Value </w:t>
            </w:r>
          </w:p>
        </w:tc>
      </w:tr>
      <w:tr w:rsidR="00613B60" w14:paraId="65753636"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tcPr>
          <w:p w14:paraId="3B53B628" w14:textId="77777777" w:rsidR="00613B60" w:rsidRDefault="00C1376E">
            <w:pPr>
              <w:spacing w:before="120"/>
              <w:jc w:val="left"/>
              <w:rPr>
                <w:sz w:val="21"/>
                <w:szCs w:val="21"/>
              </w:rPr>
            </w:pPr>
            <w:r>
              <w:rPr>
                <w:b w:val="0"/>
                <w:sz w:val="21"/>
                <w:szCs w:val="21"/>
              </w:rPr>
              <w:t>Credit score</w:t>
            </w:r>
          </w:p>
        </w:tc>
        <w:tc>
          <w:tcPr>
            <w:tcW w:w="1080" w:type="dxa"/>
          </w:tcPr>
          <w:p w14:paraId="157FDE06"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0.099214</w:t>
            </w:r>
          </w:p>
        </w:tc>
      </w:tr>
      <w:tr w:rsidR="00613B60" w14:paraId="231B4056"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2335" w:type="dxa"/>
          </w:tcPr>
          <w:p w14:paraId="5CADB1FF" w14:textId="77777777" w:rsidR="00613B60" w:rsidRDefault="00C1376E">
            <w:pPr>
              <w:spacing w:before="120"/>
              <w:jc w:val="left"/>
              <w:rPr>
                <w:sz w:val="21"/>
                <w:szCs w:val="21"/>
              </w:rPr>
            </w:pPr>
            <w:r>
              <w:rPr>
                <w:b w:val="0"/>
                <w:sz w:val="21"/>
                <w:szCs w:val="21"/>
              </w:rPr>
              <w:t>Income</w:t>
            </w:r>
          </w:p>
        </w:tc>
        <w:tc>
          <w:tcPr>
            <w:tcW w:w="1080" w:type="dxa"/>
          </w:tcPr>
          <w:p w14:paraId="0E92718F"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0.019015</w:t>
            </w:r>
          </w:p>
        </w:tc>
      </w:tr>
      <w:tr w:rsidR="00613B60" w14:paraId="36102C31"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tcPr>
          <w:p w14:paraId="677FDE5C" w14:textId="77777777" w:rsidR="00613B60" w:rsidRDefault="00C1376E">
            <w:pPr>
              <w:spacing w:before="120"/>
              <w:jc w:val="left"/>
              <w:rPr>
                <w:sz w:val="21"/>
                <w:szCs w:val="21"/>
              </w:rPr>
            </w:pPr>
            <w:r>
              <w:rPr>
                <w:b w:val="0"/>
                <w:sz w:val="21"/>
                <w:szCs w:val="21"/>
              </w:rPr>
              <w:t>Credit card balance</w:t>
            </w:r>
          </w:p>
        </w:tc>
        <w:tc>
          <w:tcPr>
            <w:tcW w:w="1080" w:type="dxa"/>
          </w:tcPr>
          <w:p w14:paraId="2F825553"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0.018398</w:t>
            </w:r>
          </w:p>
        </w:tc>
      </w:tr>
      <w:tr w:rsidR="00613B60" w14:paraId="123385CF"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2335" w:type="dxa"/>
          </w:tcPr>
          <w:p w14:paraId="257C21E1" w14:textId="77777777" w:rsidR="00613B60" w:rsidRDefault="00C1376E">
            <w:pPr>
              <w:spacing w:before="120"/>
              <w:jc w:val="left"/>
              <w:rPr>
                <w:sz w:val="21"/>
                <w:szCs w:val="21"/>
              </w:rPr>
            </w:pPr>
            <w:r>
              <w:rPr>
                <w:b w:val="0"/>
                <w:sz w:val="21"/>
                <w:szCs w:val="21"/>
              </w:rPr>
              <w:t>Mortgage balance</w:t>
            </w:r>
          </w:p>
        </w:tc>
        <w:tc>
          <w:tcPr>
            <w:tcW w:w="1080" w:type="dxa"/>
          </w:tcPr>
          <w:p w14:paraId="262C728E"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0.015575</w:t>
            </w:r>
          </w:p>
        </w:tc>
      </w:tr>
      <w:tr w:rsidR="00613B60" w14:paraId="05979D87"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tcPr>
          <w:p w14:paraId="5DA10FF8" w14:textId="77777777" w:rsidR="00613B60" w:rsidRDefault="00C1376E">
            <w:pPr>
              <w:spacing w:before="120"/>
              <w:jc w:val="left"/>
              <w:rPr>
                <w:sz w:val="21"/>
                <w:szCs w:val="21"/>
              </w:rPr>
            </w:pPr>
            <w:r>
              <w:rPr>
                <w:b w:val="0"/>
                <w:sz w:val="21"/>
                <w:szCs w:val="21"/>
              </w:rPr>
              <w:t>Line of credit balance</w:t>
            </w:r>
          </w:p>
        </w:tc>
        <w:tc>
          <w:tcPr>
            <w:tcW w:w="1080" w:type="dxa"/>
          </w:tcPr>
          <w:p w14:paraId="06EE78A9"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0.014866</w:t>
            </w:r>
          </w:p>
        </w:tc>
      </w:tr>
      <w:tr w:rsidR="00613B60" w14:paraId="10B0EA4F"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2335" w:type="dxa"/>
          </w:tcPr>
          <w:p w14:paraId="2482E503" w14:textId="77777777" w:rsidR="00613B60" w:rsidRDefault="00C1376E">
            <w:pPr>
              <w:spacing w:before="120"/>
              <w:jc w:val="left"/>
              <w:rPr>
                <w:sz w:val="21"/>
                <w:szCs w:val="21"/>
              </w:rPr>
            </w:pPr>
            <w:r>
              <w:rPr>
                <w:b w:val="0"/>
                <w:sz w:val="21"/>
                <w:szCs w:val="21"/>
              </w:rPr>
              <w:t>Age</w:t>
            </w:r>
          </w:p>
        </w:tc>
        <w:tc>
          <w:tcPr>
            <w:tcW w:w="1080" w:type="dxa"/>
          </w:tcPr>
          <w:p w14:paraId="4C987AEE"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0.013942</w:t>
            </w:r>
          </w:p>
        </w:tc>
      </w:tr>
      <w:tr w:rsidR="00613B60" w14:paraId="7F1C393D"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tcPr>
          <w:p w14:paraId="6E19971D" w14:textId="77777777" w:rsidR="00613B60" w:rsidRDefault="00C1376E">
            <w:pPr>
              <w:spacing w:before="120"/>
              <w:jc w:val="left"/>
              <w:rPr>
                <w:sz w:val="21"/>
                <w:szCs w:val="21"/>
              </w:rPr>
            </w:pPr>
            <w:r>
              <w:rPr>
                <w:b w:val="0"/>
                <w:sz w:val="21"/>
                <w:szCs w:val="21"/>
              </w:rPr>
              <w:t>Value of home</w:t>
            </w:r>
          </w:p>
        </w:tc>
        <w:tc>
          <w:tcPr>
            <w:tcW w:w="1080" w:type="dxa"/>
          </w:tcPr>
          <w:p w14:paraId="66C71923"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0.012699</w:t>
            </w:r>
          </w:p>
        </w:tc>
      </w:tr>
      <w:tr w:rsidR="00613B60" w14:paraId="0BE1AED3" w14:textId="77777777" w:rsidTr="00613B60">
        <w:trPr>
          <w:trHeight w:val="20"/>
        </w:trPr>
        <w:tc>
          <w:tcPr>
            <w:cnfStyle w:val="001000000000" w:firstRow="0" w:lastRow="0" w:firstColumn="1" w:lastColumn="0" w:oddVBand="0" w:evenVBand="0" w:oddHBand="0" w:evenHBand="0" w:firstRowFirstColumn="0" w:firstRowLastColumn="0" w:lastRowFirstColumn="0" w:lastRowLastColumn="0"/>
            <w:tcW w:w="2335" w:type="dxa"/>
          </w:tcPr>
          <w:p w14:paraId="78CCDE14" w14:textId="77777777" w:rsidR="00613B60" w:rsidRDefault="00C1376E">
            <w:pPr>
              <w:spacing w:before="120"/>
              <w:jc w:val="left"/>
              <w:rPr>
                <w:sz w:val="21"/>
                <w:szCs w:val="21"/>
              </w:rPr>
            </w:pPr>
            <w:r>
              <w:rPr>
                <w:b w:val="0"/>
                <w:sz w:val="21"/>
                <w:szCs w:val="21"/>
              </w:rPr>
              <w:t>Length of residence</w:t>
            </w:r>
          </w:p>
        </w:tc>
        <w:tc>
          <w:tcPr>
            <w:tcW w:w="1080" w:type="dxa"/>
          </w:tcPr>
          <w:p w14:paraId="6670AE75" w14:textId="77777777" w:rsidR="00613B60" w:rsidRDefault="00C1376E">
            <w:pPr>
              <w:spacing w:before="12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0.011573</w:t>
            </w:r>
          </w:p>
        </w:tc>
      </w:tr>
      <w:tr w:rsidR="00613B60" w14:paraId="5E8FF239" w14:textId="77777777" w:rsidTr="00613B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35" w:type="dxa"/>
          </w:tcPr>
          <w:p w14:paraId="6BFC92D7" w14:textId="77777777" w:rsidR="00613B60" w:rsidRDefault="00C1376E">
            <w:pPr>
              <w:spacing w:before="120"/>
              <w:jc w:val="left"/>
              <w:rPr>
                <w:sz w:val="21"/>
                <w:szCs w:val="21"/>
              </w:rPr>
            </w:pPr>
            <w:r>
              <w:rPr>
                <w:b w:val="0"/>
                <w:sz w:val="21"/>
                <w:szCs w:val="21"/>
              </w:rPr>
              <w:t>Age of oldest account</w:t>
            </w:r>
          </w:p>
        </w:tc>
        <w:tc>
          <w:tcPr>
            <w:tcW w:w="1080" w:type="dxa"/>
          </w:tcPr>
          <w:p w14:paraId="539A392A" w14:textId="77777777" w:rsidR="00613B60" w:rsidRDefault="00C1376E">
            <w:pPr>
              <w:spacing w:before="12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0.011394</w:t>
            </w:r>
          </w:p>
        </w:tc>
      </w:tr>
    </w:tbl>
    <w:p w14:paraId="534C591C" w14:textId="77777777" w:rsidR="00613B60" w:rsidRDefault="00613B60">
      <w:pPr>
        <w:spacing w:line="240" w:lineRule="auto"/>
        <w:jc w:val="left"/>
      </w:pPr>
    </w:p>
    <w:p w14:paraId="3303704C" w14:textId="77777777" w:rsidR="00613B60" w:rsidRDefault="00613B60">
      <w:pPr>
        <w:spacing w:line="240" w:lineRule="auto"/>
        <w:jc w:val="left"/>
      </w:pPr>
    </w:p>
    <w:p w14:paraId="25F7E762" w14:textId="77777777" w:rsidR="00613B60" w:rsidRDefault="00C1376E">
      <w:pPr>
        <w:spacing w:line="240" w:lineRule="auto"/>
        <w:jc w:val="left"/>
        <w:rPr>
          <w:sz w:val="28"/>
          <w:szCs w:val="28"/>
        </w:rPr>
      </w:pPr>
      <w:r>
        <w:rPr>
          <w:i/>
          <w:sz w:val="28"/>
          <w:szCs w:val="28"/>
        </w:rPr>
        <w:t>Data Considerations</w:t>
      </w:r>
    </w:p>
    <w:p w14:paraId="327450ED" w14:textId="77777777" w:rsidR="00613B60" w:rsidRDefault="00C1376E">
      <w:pPr>
        <w:spacing w:line="240" w:lineRule="auto"/>
        <w:jc w:val="left"/>
      </w:pPr>
      <w:r>
        <w:t xml:space="preserve">Closer examination of the data set also uncovered a substantial number of missing values among observations, where 13 of the predictors had over one thousand missing observations. Redundant variables were also </w:t>
      </w:r>
      <w:r>
        <w:lastRenderedPageBreak/>
        <w:t>identified, specifically among indicator varia</w:t>
      </w:r>
      <w:r>
        <w:t>bles for account types and their corresponding balances. Other redundancies were (</w:t>
      </w:r>
      <w:r>
        <w:rPr>
          <w:i/>
        </w:rPr>
        <w:t xml:space="preserve">home ownership indicator, mortgage balance) </w:t>
      </w:r>
      <w:r>
        <w:t>and (</w:t>
      </w:r>
      <w:r>
        <w:rPr>
          <w:i/>
        </w:rPr>
        <w:t>credit card indicator</w:t>
      </w:r>
      <w:r>
        <w:t xml:space="preserve">, </w:t>
      </w:r>
      <w:r>
        <w:rPr>
          <w:i/>
        </w:rPr>
        <w:t>line of credit</w:t>
      </w:r>
      <w:r>
        <w:t>). We also detected a nearly one-to-one relationship (95% correlation) between the mortg</w:t>
      </w:r>
      <w:r>
        <w:t>age balance and credit card balance variables.</w:t>
      </w:r>
    </w:p>
    <w:p w14:paraId="33516206" w14:textId="77777777" w:rsidR="00613B60" w:rsidRDefault="00C1376E">
      <w:pPr>
        <w:spacing w:line="240" w:lineRule="auto"/>
        <w:jc w:val="left"/>
      </w:pPr>
      <w:r>
        <w:t>Figure 1 shows the variables with more than one thousand missing observations, where the variables are sorted by the number of missing values.</w:t>
      </w:r>
    </w:p>
    <w:p w14:paraId="774249B1" w14:textId="702D9591" w:rsidR="00613B60" w:rsidRDefault="00C1376E">
      <w:pPr>
        <w:spacing w:line="240" w:lineRule="auto"/>
        <w:jc w:val="left"/>
      </w:pPr>
      <w:r>
        <w:rPr>
          <w:noProof/>
        </w:rPr>
        <w:drawing>
          <wp:inline distT="0" distB="0" distL="0" distR="0" wp14:anchorId="6124DC0A" wp14:editId="5E1A4DF0">
            <wp:extent cx="6400800" cy="3952240"/>
            <wp:effectExtent l="0" t="0" r="0" b="0"/>
            <wp:docPr id="3"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8"/>
                    <a:srcRect/>
                    <a:stretch>
                      <a:fillRect/>
                    </a:stretch>
                  </pic:blipFill>
                  <pic:spPr>
                    <a:xfrm>
                      <a:off x="0" y="0"/>
                      <a:ext cx="6400800" cy="3952240"/>
                    </a:xfrm>
                    <a:prstGeom prst="rect">
                      <a:avLst/>
                    </a:prstGeom>
                    <a:ln/>
                  </pic:spPr>
                </pic:pic>
              </a:graphicData>
            </a:graphic>
          </wp:inline>
        </w:drawing>
      </w:r>
    </w:p>
    <w:p w14:paraId="0747EEF5" w14:textId="26026972" w:rsidR="00D90881" w:rsidRDefault="00D90881" w:rsidP="00D90881">
      <w:pPr>
        <w:keepNext/>
        <w:pBdr>
          <w:top w:val="nil"/>
          <w:left w:val="nil"/>
          <w:bottom w:val="nil"/>
          <w:right w:val="nil"/>
          <w:between w:val="nil"/>
        </w:pBdr>
        <w:jc w:val="left"/>
        <w:rPr>
          <w:b/>
          <w:color w:val="000000"/>
          <w:sz w:val="18"/>
          <w:szCs w:val="18"/>
        </w:rPr>
      </w:pPr>
      <w:r>
        <w:rPr>
          <w:b/>
          <w:color w:val="000000"/>
          <w:sz w:val="18"/>
          <w:szCs w:val="18"/>
        </w:rPr>
        <w:t>Figure</w:t>
      </w:r>
      <w:r>
        <w:rPr>
          <w:b/>
          <w:color w:val="000000"/>
          <w:sz w:val="18"/>
          <w:szCs w:val="18"/>
        </w:rPr>
        <w:t xml:space="preserve"> </w:t>
      </w:r>
      <w:r>
        <w:rPr>
          <w:b/>
          <w:color w:val="000000"/>
          <w:sz w:val="18"/>
          <w:szCs w:val="18"/>
        </w:rPr>
        <w:t>1</w:t>
      </w:r>
      <w:r>
        <w:rPr>
          <w:b/>
          <w:color w:val="000000"/>
          <w:sz w:val="18"/>
          <w:szCs w:val="18"/>
        </w:rPr>
        <w:t>:</w:t>
      </w:r>
    </w:p>
    <w:p w14:paraId="1FCFC2C8" w14:textId="77777777" w:rsidR="00D90881" w:rsidRDefault="00D90881">
      <w:pPr>
        <w:spacing w:line="240" w:lineRule="auto"/>
        <w:jc w:val="left"/>
      </w:pPr>
    </w:p>
    <w:p w14:paraId="4512110C" w14:textId="77777777" w:rsidR="00613B60" w:rsidRDefault="00613B60">
      <w:pPr>
        <w:spacing w:line="240" w:lineRule="auto"/>
        <w:jc w:val="left"/>
      </w:pPr>
    </w:p>
    <w:sectPr w:rsidR="00613B60">
      <w:headerReference w:type="even" r:id="rId9"/>
      <w:headerReference w:type="default" r:id="rId10"/>
      <w:footerReference w:type="even" r:id="rId11"/>
      <w:footerReference w:type="default" r:id="rId12"/>
      <w:pgSz w:w="12240" w:h="15840"/>
      <w:pgMar w:top="810" w:right="1080" w:bottom="90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45B5" w14:textId="77777777" w:rsidR="00C1376E" w:rsidRDefault="00C1376E">
      <w:pPr>
        <w:spacing w:after="0" w:line="240" w:lineRule="auto"/>
      </w:pPr>
      <w:r>
        <w:separator/>
      </w:r>
    </w:p>
  </w:endnote>
  <w:endnote w:type="continuationSeparator" w:id="0">
    <w:p w14:paraId="2C7CACFB" w14:textId="77777777" w:rsidR="00C1376E" w:rsidRDefault="00C1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486B" w14:textId="77777777" w:rsidR="00613B60" w:rsidRDefault="00613B60"/>
  <w:p w14:paraId="2A320C6F" w14:textId="77777777" w:rsidR="00613B60" w:rsidRDefault="00C1376E">
    <w:pPr>
      <w:pBdr>
        <w:top w:val="single" w:sz="4" w:space="1" w:color="94B6D2"/>
        <w:left w:val="nil"/>
        <w:bottom w:val="nil"/>
        <w:right w:val="nil"/>
        <w:between w:val="nil"/>
      </w:pBdr>
      <w:rPr>
        <w:color w:val="775F55"/>
        <w:sz w:val="20"/>
        <w:szCs w:val="20"/>
      </w:rPr>
    </w:pPr>
    <w:r>
      <w:rPr>
        <w:color w:val="775F55"/>
        <w:sz w:val="20"/>
        <w:szCs w:val="20"/>
      </w:rPr>
      <w:t xml:space="preserve">Page </w:t>
    </w:r>
    <w:r>
      <w:rPr>
        <w:color w:val="775F55"/>
        <w:sz w:val="24"/>
        <w:szCs w:val="24"/>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D742" w14:textId="77777777" w:rsidR="00613B60" w:rsidRDefault="00613B60"/>
  <w:p w14:paraId="6962D5D1" w14:textId="77777777" w:rsidR="00613B60" w:rsidRDefault="00C1376E">
    <w:pPr>
      <w:pBdr>
        <w:top w:val="single" w:sz="4" w:space="1" w:color="94B6D2"/>
        <w:left w:val="nil"/>
        <w:bottom w:val="nil"/>
        <w:right w:val="nil"/>
        <w:between w:val="nil"/>
      </w:pBdr>
      <w:jc w:val="right"/>
      <w:rPr>
        <w:color w:val="775F55"/>
        <w:sz w:val="20"/>
        <w:szCs w:val="20"/>
      </w:rPr>
    </w:pPr>
    <w:r>
      <w:rPr>
        <w:color w:val="775F55"/>
        <w:sz w:val="20"/>
        <w:szCs w:val="20"/>
      </w:rPr>
      <w:t xml:space="preserve">Page </w:t>
    </w:r>
    <w:r>
      <w:rPr>
        <w:color w:val="775F55"/>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4821" w14:textId="77777777" w:rsidR="00C1376E" w:rsidRDefault="00C1376E">
      <w:pPr>
        <w:spacing w:after="0" w:line="240" w:lineRule="auto"/>
      </w:pPr>
      <w:r>
        <w:separator/>
      </w:r>
    </w:p>
  </w:footnote>
  <w:footnote w:type="continuationSeparator" w:id="0">
    <w:p w14:paraId="7874994A" w14:textId="77777777" w:rsidR="00C1376E" w:rsidRDefault="00C13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5D33" w14:textId="77777777" w:rsidR="00613B60" w:rsidRDefault="00C1376E">
    <w:pPr>
      <w:pBdr>
        <w:top w:val="nil"/>
        <w:left w:val="nil"/>
        <w:bottom w:val="single" w:sz="4" w:space="1" w:color="94B6D2"/>
        <w:right w:val="nil"/>
        <w:between w:val="nil"/>
      </w:pBdr>
      <w:spacing w:after="0" w:line="240" w:lineRule="auto"/>
      <w:rPr>
        <w:b/>
        <w:color w:val="775F55"/>
        <w:sz w:val="20"/>
        <w:szCs w:val="20"/>
      </w:rPr>
    </w:pPr>
    <w:r>
      <w:rPr>
        <w:b/>
        <w:color w:val="775F55"/>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24E9" w14:textId="77777777" w:rsidR="00613B60" w:rsidRDefault="00C1376E">
    <w:pPr>
      <w:pBdr>
        <w:top w:val="nil"/>
        <w:left w:val="nil"/>
        <w:bottom w:val="single" w:sz="4" w:space="1" w:color="94B6D2"/>
        <w:right w:val="nil"/>
        <w:between w:val="nil"/>
      </w:pBdr>
      <w:spacing w:after="0" w:line="240" w:lineRule="auto"/>
      <w:jc w:val="right"/>
      <w:rPr>
        <w:b/>
        <w:color w:val="775F55"/>
        <w:sz w:val="20"/>
        <w:szCs w:val="20"/>
      </w:rPr>
    </w:pPr>
    <w:r>
      <w:rPr>
        <w:b/>
        <w:color w:val="775F55"/>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0083"/>
    <w:multiLevelType w:val="multilevel"/>
    <w:tmpl w:val="BFE2C6E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60"/>
    <w:rsid w:val="00613B60"/>
    <w:rsid w:val="00C1376E"/>
    <w:rsid w:val="00D9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192"/>
  <w15:docId w15:val="{B156F004-4932-4FB4-B084-D511EDAE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wentieth Century" w:eastAsia="Twentieth Century" w:hAnsi="Twentieth Century" w:cs="Twentieth Century"/>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EA"/>
  </w:style>
  <w:style w:type="paragraph" w:styleId="Heading1">
    <w:name w:val="heading 1"/>
    <w:basedOn w:val="Normal"/>
    <w:next w:val="Normal"/>
    <w:link w:val="Heading1Char"/>
    <w:uiPriority w:val="9"/>
    <w:qFormat/>
    <w:rsid w:val="00A81BE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81BE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81BE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81BE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81BE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81BE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81BE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81BE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81BE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BE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A81BE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81BE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81BEA"/>
    <w:rPr>
      <w:rFonts w:asciiTheme="majorHAnsi" w:eastAsiaTheme="majorEastAsia" w:hAnsiTheme="majorHAnsi" w:cstheme="majorBidi"/>
      <w:spacing w:val="4"/>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rsid w:val="00A81BE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81BEA"/>
    <w:rPr>
      <w:rFonts w:asciiTheme="majorHAnsi" w:eastAsiaTheme="majorEastAsia" w:hAnsiTheme="majorHAnsi" w:cstheme="majorBidi"/>
      <w:sz w:val="26"/>
      <w:szCs w:val="26"/>
    </w:rPr>
  </w:style>
  <w:style w:type="paragraph" w:styleId="Subtitle">
    <w:name w:val="Subtitle"/>
    <w:basedOn w:val="Normal"/>
    <w:next w:val="Normal"/>
    <w:link w:val="SubtitleChar"/>
    <w:uiPriority w:val="11"/>
    <w:qFormat/>
    <w:pPr>
      <w:spacing w:after="240"/>
      <w:jc w:val="center"/>
    </w:pPr>
    <w:rPr>
      <w:sz w:val="24"/>
      <w:szCs w:val="24"/>
    </w:rPr>
  </w:style>
  <w:style w:type="character" w:customStyle="1" w:styleId="SubtitleChar">
    <w:name w:val="Subtitle Char"/>
    <w:basedOn w:val="DefaultParagraphFont"/>
    <w:link w:val="Subtitle"/>
    <w:uiPriority w:val="11"/>
    <w:rsid w:val="00A81BEA"/>
    <w:rPr>
      <w:rFonts w:asciiTheme="majorHAnsi" w:eastAsiaTheme="majorEastAsia" w:hAnsiTheme="majorHAnsi" w:cstheme="majorBidi"/>
      <w:sz w:val="24"/>
      <w:szCs w:val="24"/>
    </w:rPr>
  </w:style>
  <w:style w:type="character" w:customStyle="1" w:styleId="TitleChar">
    <w:name w:val="Title Char"/>
    <w:basedOn w:val="DefaultParagraphFont"/>
    <w:link w:val="Title"/>
    <w:uiPriority w:val="10"/>
    <w:rsid w:val="00A81BEA"/>
    <w:rPr>
      <w:rFonts w:asciiTheme="majorHAnsi" w:eastAsiaTheme="majorEastAsia" w:hAnsiTheme="majorHAnsi" w:cstheme="majorBidi"/>
      <w:b/>
      <w:bCs/>
      <w:spacing w:val="-7"/>
      <w:sz w:val="48"/>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sid w:val="00A81BEA"/>
    <w:rPr>
      <w:b/>
      <w:bCs/>
      <w:smallCaps/>
      <w:color w:val="auto"/>
    </w:rPr>
  </w:style>
  <w:style w:type="paragraph" w:styleId="Caption">
    <w:name w:val="caption"/>
    <w:basedOn w:val="Normal"/>
    <w:next w:val="Normal"/>
    <w:uiPriority w:val="35"/>
    <w:unhideWhenUsed/>
    <w:qFormat/>
    <w:rsid w:val="00A81BEA"/>
    <w:rPr>
      <w:b/>
      <w:bCs/>
      <w:sz w:val="18"/>
      <w:szCs w:val="18"/>
    </w:rPr>
  </w:style>
  <w:style w:type="character" w:styleId="Emphasis">
    <w:name w:val="Emphasis"/>
    <w:basedOn w:val="DefaultParagraphFont"/>
    <w:uiPriority w:val="20"/>
    <w:qFormat/>
    <w:rsid w:val="00A81BEA"/>
    <w:rPr>
      <w:i/>
      <w:iCs/>
      <w:color w:val="auto"/>
    </w:rPr>
  </w:style>
  <w:style w:type="character" w:customStyle="1" w:styleId="Heading4Char">
    <w:name w:val="Heading 4 Char"/>
    <w:basedOn w:val="DefaultParagraphFont"/>
    <w:link w:val="Heading4"/>
    <w:uiPriority w:val="9"/>
    <w:semiHidden/>
    <w:rsid w:val="00A81BE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81BE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81B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81BEA"/>
    <w:rPr>
      <w:i/>
      <w:iCs/>
    </w:rPr>
  </w:style>
  <w:style w:type="character" w:customStyle="1" w:styleId="Heading8Char">
    <w:name w:val="Heading 8 Char"/>
    <w:basedOn w:val="DefaultParagraphFont"/>
    <w:link w:val="Heading8"/>
    <w:uiPriority w:val="9"/>
    <w:semiHidden/>
    <w:rsid w:val="00A81BEA"/>
    <w:rPr>
      <w:b/>
      <w:bCs/>
    </w:rPr>
  </w:style>
  <w:style w:type="character" w:customStyle="1" w:styleId="Heading9Char">
    <w:name w:val="Heading 9 Char"/>
    <w:basedOn w:val="DefaultParagraphFont"/>
    <w:link w:val="Heading9"/>
    <w:uiPriority w:val="9"/>
    <w:semiHidden/>
    <w:rsid w:val="00A81BEA"/>
    <w:rPr>
      <w:i/>
      <w:iCs/>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sid w:val="00A81BEA"/>
    <w:rPr>
      <w:b/>
      <w:bCs/>
      <w:i/>
      <w:iCs/>
      <w:color w:val="auto"/>
    </w:rPr>
  </w:style>
  <w:style w:type="character" w:styleId="IntenseReference">
    <w:name w:val="Intense Reference"/>
    <w:basedOn w:val="DefaultParagraphFont"/>
    <w:uiPriority w:val="32"/>
    <w:qFormat/>
    <w:rsid w:val="00A81BEA"/>
    <w:rPr>
      <w:b/>
      <w:bCs/>
      <w:smallCaps/>
      <w:color w:val="auto"/>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pPr>
      <w:numPr>
        <w:numId w:val="1"/>
      </w:numPr>
    </w:pPr>
    <w:rPr>
      <w:sz w:val="24"/>
    </w:rPr>
  </w:style>
  <w:style w:type="paragraph" w:styleId="ListBullet2">
    <w:name w:val="List Bullet 2"/>
    <w:basedOn w:val="Normal"/>
    <w:uiPriority w:val="36"/>
    <w:unhideWhenUsed/>
    <w:pPr>
      <w:tabs>
        <w:tab w:val="num" w:pos="720"/>
      </w:tabs>
      <w:ind w:left="720" w:hanging="720"/>
    </w:pPr>
    <w:rPr>
      <w:color w:val="94B6D2" w:themeColor="accent1"/>
    </w:rPr>
  </w:style>
  <w:style w:type="paragraph" w:styleId="ListBullet3">
    <w:name w:val="List Bullet 3"/>
    <w:basedOn w:val="Normal"/>
    <w:uiPriority w:val="36"/>
    <w:unhideWhenUsed/>
    <w:pPr>
      <w:tabs>
        <w:tab w:val="num" w:pos="720"/>
      </w:tabs>
      <w:ind w:left="720" w:hanging="720"/>
    </w:pPr>
    <w:rPr>
      <w:color w:val="DD8047" w:themeColor="accent2"/>
    </w:rPr>
  </w:style>
  <w:style w:type="paragraph" w:styleId="ListBullet4">
    <w:name w:val="List Bullet 4"/>
    <w:basedOn w:val="Normal"/>
    <w:uiPriority w:val="36"/>
    <w:unhideWhenUsed/>
    <w:pPr>
      <w:tabs>
        <w:tab w:val="num" w:pos="720"/>
      </w:tabs>
      <w:ind w:left="720" w:hanging="720"/>
    </w:pPr>
    <w:rPr>
      <w:caps/>
      <w:spacing w:val="4"/>
    </w:rPr>
  </w:style>
  <w:style w:type="paragraph" w:styleId="ListBullet5">
    <w:name w:val="List Bullet 5"/>
    <w:basedOn w:val="Normal"/>
    <w:uiPriority w:val="36"/>
    <w:unhideWhenUsed/>
    <w:pPr>
      <w:tabs>
        <w:tab w:val="num" w:pos="720"/>
      </w:tabs>
      <w:ind w:left="720" w:hanging="720"/>
    </w:pPr>
  </w:style>
  <w:style w:type="paragraph" w:styleId="ListParagraph">
    <w:name w:val="List Paragraph"/>
    <w:basedOn w:val="Normal"/>
    <w:uiPriority w:val="34"/>
    <w:qFormat/>
    <w:pPr>
      <w:ind w:left="720"/>
      <w:contextualSpacing/>
    </w:pPr>
  </w:style>
  <w:style w:type="numbering" w:customStyle="1" w:styleId="MedianListStyle">
    <w:name w:val="Median List Style"/>
    <w:uiPriority w:val="99"/>
  </w:style>
  <w:style w:type="paragraph" w:styleId="NoSpacing">
    <w:name w:val="No Spacing"/>
    <w:uiPriority w:val="1"/>
    <w:qFormat/>
    <w:rsid w:val="00A81BEA"/>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next w:val="Normal"/>
    <w:link w:val="QuoteChar"/>
    <w:uiPriority w:val="29"/>
    <w:qFormat/>
    <w:rsid w:val="00A81BE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81BEA"/>
    <w:rPr>
      <w:rFonts w:asciiTheme="majorHAnsi" w:eastAsiaTheme="majorEastAsia" w:hAnsiTheme="majorHAnsi" w:cstheme="majorBidi"/>
      <w:i/>
      <w:iCs/>
      <w:sz w:val="24"/>
      <w:szCs w:val="24"/>
    </w:rPr>
  </w:style>
  <w:style w:type="character" w:styleId="Strong">
    <w:name w:val="Strong"/>
    <w:basedOn w:val="DefaultParagraphFont"/>
    <w:uiPriority w:val="22"/>
    <w:qFormat/>
    <w:rsid w:val="00A81BEA"/>
    <w:rPr>
      <w:b/>
      <w:bCs/>
      <w:color w:val="auto"/>
    </w:rPr>
  </w:style>
  <w:style w:type="character" w:styleId="SubtleEmphasis">
    <w:name w:val="Subtle Emphasis"/>
    <w:basedOn w:val="DefaultParagraphFont"/>
    <w:uiPriority w:val="19"/>
    <w:qFormat/>
    <w:rsid w:val="00A81BEA"/>
    <w:rPr>
      <w:i/>
      <w:iCs/>
      <w:color w:val="auto"/>
    </w:rPr>
  </w:style>
  <w:style w:type="character" w:styleId="SubtleReference">
    <w:name w:val="Subtle Reference"/>
    <w:basedOn w:val="DefaultParagraphFont"/>
    <w:uiPriority w:val="31"/>
    <w:qFormat/>
    <w:rsid w:val="00A81BEA"/>
    <w:rPr>
      <w:smallCaps/>
      <w:color w:val="auto"/>
      <w:u w:val="single" w:color="7F7F7F" w:themeColor="text1" w:themeTint="80"/>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pPr>
      <w:pBdr>
        <w:top w:val="single" w:sz="4" w:space="1" w:color="94B6D2" w:themeColor="accent1"/>
      </w:pBdr>
    </w:pPr>
    <w:rPr>
      <w:color w:val="775F55" w:themeColor="text2"/>
      <w:sz w:val="20"/>
    </w:rPr>
  </w:style>
  <w:style w:type="paragraph" w:customStyle="1" w:styleId="FooterOdd">
    <w:name w:val="Footer Odd"/>
    <w:basedOn w:val="Normal"/>
    <w:unhideWhenUsed/>
    <w:pPr>
      <w:pBdr>
        <w:top w:val="single" w:sz="4" w:space="1" w:color="94B6D2" w:themeColor="accent1"/>
      </w:pBdr>
      <w:jc w:val="right"/>
    </w:pPr>
    <w:rPr>
      <w:color w:val="775F55" w:themeColor="text2"/>
      <w:sz w:val="20"/>
    </w:rPr>
  </w:style>
  <w:style w:type="paragraph" w:customStyle="1" w:styleId="HeaderEven">
    <w:name w:val="Header Even"/>
    <w:basedOn w:val="Normal"/>
    <w:unhideWhenUsed/>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pPr>
      <w:framePr w:wrap="auto" w:hAnchor="page" w:xAlign="center" w:yAlign="top"/>
      <w:spacing w:after="0" w:line="240" w:lineRule="auto"/>
      <w:suppressOverlap/>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TOCHeading">
    <w:name w:val="TOC Heading"/>
    <w:basedOn w:val="Heading1"/>
    <w:next w:val="Normal"/>
    <w:uiPriority w:val="39"/>
    <w:unhideWhenUsed/>
    <w:qFormat/>
    <w:rsid w:val="00A81BEA"/>
    <w:pPr>
      <w:outlineLvl w:val="9"/>
    </w:pPr>
  </w:style>
  <w:style w:type="paragraph" w:styleId="Revision">
    <w:name w:val="Revision"/>
    <w:hidden/>
    <w:uiPriority w:val="99"/>
    <w:semiHidden/>
    <w:rsid w:val="00852520"/>
    <w:pPr>
      <w:spacing w:after="0" w:line="240" w:lineRule="auto"/>
    </w:pPr>
    <w:rPr>
      <w:lang w:eastAsia="ja-JP"/>
    </w:rPr>
  </w:style>
  <w:style w:type="character" w:styleId="CommentReference">
    <w:name w:val="annotation reference"/>
    <w:basedOn w:val="DefaultParagraphFont"/>
    <w:uiPriority w:val="99"/>
    <w:semiHidden/>
    <w:unhideWhenUsed/>
    <w:rsid w:val="00011F35"/>
    <w:rPr>
      <w:sz w:val="16"/>
      <w:szCs w:val="16"/>
    </w:rPr>
  </w:style>
  <w:style w:type="paragraph" w:styleId="CommentText">
    <w:name w:val="annotation text"/>
    <w:basedOn w:val="Normal"/>
    <w:link w:val="CommentTextChar"/>
    <w:uiPriority w:val="99"/>
    <w:unhideWhenUsed/>
    <w:rsid w:val="00011F35"/>
    <w:pPr>
      <w:spacing w:line="240" w:lineRule="auto"/>
    </w:pPr>
    <w:rPr>
      <w:sz w:val="20"/>
    </w:rPr>
  </w:style>
  <w:style w:type="character" w:customStyle="1" w:styleId="CommentTextChar">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unhideWhenUsed/>
    <w:rsid w:val="00011F35"/>
    <w:rPr>
      <w:b/>
      <w:bCs/>
    </w:rPr>
  </w:style>
  <w:style w:type="character" w:customStyle="1" w:styleId="CommentSubjectChar">
    <w:name w:val="Comment Subject Char"/>
    <w:basedOn w:val="CommentTextChar"/>
    <w:link w:val="CommentSubject"/>
    <w:uiPriority w:val="99"/>
    <w:semiHidden/>
    <w:rsid w:val="00011F35"/>
    <w:rPr>
      <w:b/>
      <w:bCs/>
      <w:sz w:val="20"/>
      <w:lang w:eastAsia="ja-JP"/>
    </w:rPr>
  </w:style>
  <w:style w:type="character" w:customStyle="1" w:styleId="apple-converted-space">
    <w:name w:val="apple-converted-space"/>
    <w:basedOn w:val="DefaultParagraphFont"/>
    <w:rsid w:val="002D4294"/>
  </w:style>
  <w:style w:type="table" w:customStyle="1" w:styleId="a">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0">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1">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2">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CVGpmzNkk71bMsJTbqK/+xCTQ==">AMUW2mWuiHP/uEjqM7jAvDvcqMDO9ZwLAUPuBCFqCg9mzCZaooGB/rpDBMlklGbOuvpIfeMKoOmuufkPrjytrAuP88YOur0IXXsg4yxJxeB5FhQ/kFNfo3mlWCBpVKMDHnvS99rd5+ou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Espinal</dc:creator>
  <cp:lastModifiedBy>Alex Raum</cp:lastModifiedBy>
  <cp:revision>2</cp:revision>
  <dcterms:created xsi:type="dcterms:W3CDTF">2021-08-31T21:35:00Z</dcterms:created>
  <dcterms:modified xsi:type="dcterms:W3CDTF">2021-09-01T14:42:00Z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