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4A7A"/>
          <w:sz w:val="44"/>
        </w:rPr>
        <w:t>OPTION PANDA — Impact &amp; Efficacy Report</w:t>
      </w:r>
    </w:p>
    <w:p>
      <w:pPr>
        <w:jc w:val="center"/>
      </w:pPr>
      <w:r>
        <w:rPr>
          <w:i/>
          <w:color w:val="606060"/>
          <w:sz w:val="22"/>
        </w:rPr>
        <w:t>Per-rule and per-strategy assessment of how often each scoring element fires, how much it moves the average ticker's score, and the evidence behind it.</w:t>
      </w:r>
    </w:p>
    <w:p>
      <w:pPr>
        <w:jc w:val="center"/>
      </w:pPr>
      <w:r>
        <w:rPr>
          <w:color w:val="808080"/>
          <w:sz w:val="20"/>
        </w:rPr>
        <w:t>v2.18.30 build · 2026-05-13</w:t>
      </w:r>
    </w:p>
    <w:p>
      <w:r>
        <w:br w:type="page"/>
      </w:r>
    </w:p>
    <w:p>
      <w:r>
        <w:rPr>
          <w:b/>
          <w:color w:val="0B4A7A"/>
          <w:sz w:val="30"/>
        </w:rPr>
        <w:t>Executive Summary</w:t>
      </w:r>
    </w:p>
    <w:p>
      <w:r>
        <w:t>This is a companion report to the Scoring System &amp; Strategy Guide. Where the overview tells you WHAT each rule does, this report tells you HOW WELL it works.</w:t>
      </w:r>
    </w:p>
    <w:p>
      <w:r>
        <w:t>Two angles are covered:</w:t>
      </w:r>
    </w:p>
    <w:p>
      <w:r>
        <w:t>1. Per-rule impact &amp; efficacy — for every rule the dashboard ships: evidence tier (STRONG / MODERATE / HEURISTIC), empirical hit rate, average impact on score, and a one-line source / efficacy note.</w:t>
      </w:r>
    </w:p>
    <w:p>
      <w:r>
        <w:t>2. Strategy-level efficacy — for each of the five presets: which rules dominate its must-pass stack (IC-driving factors), selectivity, expected win-rate profile with honest caveats, and the trading style it's designed for.</w:t>
      </w:r>
    </w:p>
    <w:p>
      <w:r>
        <w:t>Hit-rate ballparks are empirical estimates from the 2026-04 → 2026-05 retune across the ~2,500-symbol universe. Treat them as ballparks; precise per-rule rates shift with market regime. Expected impact = rule weight × hit rate.</w:t>
      </w:r>
    </w:p>
    <w:p>
      <w:r>
        <w:rPr>
          <w:b/>
          <w:color w:val="0B4A7A"/>
          <w:sz w:val="30"/>
        </w:rPr>
        <w:t>1. Per-Rule Impact &amp; Efficacy</w:t>
      </w:r>
    </w:p>
    <w:p>
      <w:r>
        <w:t>For every scoring element: evidence tier, empirical hit rate, average impact on the total score, and a one-line source / efficacy note. Evidence tiers: STRONG = peer-reviewed factor with replicated edge; MODERATE = named industry methodology, smaller body of evidence; HEURISTIC = project-specific curation, no peer review.</w:t>
      </w:r>
    </w:p>
    <w:p>
      <w:r>
        <w:t>Hit-rate ballparks are empirical estimates from the 2026-04 → 2026-05 retune across the ~2,500-symbol universe; precise rates shift with regime. Avg impact = rule weight × hit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color="auto" w:fill="DBE7F3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1008"/>
            <w:shd w:val="clear" w:color="auto" w:fill="DBE7F3"/>
          </w:tcPr>
          <w:p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1008"/>
            <w:shd w:val="clear" w:color="auto" w:fill="DBE7F3"/>
          </w:tcPr>
          <w:p>
            <w:r/>
            <w:r>
              <w:rPr>
                <w:b/>
                <w:sz w:val="19"/>
              </w:rPr>
              <w:t>Hit %</w:t>
            </w:r>
          </w:p>
        </w:tc>
        <w:tc>
          <w:tcPr>
            <w:tcW w:type="dxa" w:w="1008"/>
            <w:shd w:val="clear" w:color="auto" w:fill="DBE7F3"/>
          </w:tcPr>
          <w:p>
            <w:r/>
            <w:r>
              <w:rPr>
                <w:b/>
                <w:sz w:val="19"/>
              </w:rPr>
              <w:t>Avg Impact</w:t>
            </w:r>
          </w:p>
        </w:tc>
        <w:tc>
          <w:tcPr>
            <w:tcW w:type="dxa" w:w="4896"/>
            <w:shd w:val="clear" w:color="auto" w:fill="DBE7F3"/>
          </w:tcPr>
          <w:p>
            <w:r/>
            <w:r>
              <w:rPr>
                <w:b/>
                <w:sz w:val="19"/>
              </w:rPr>
              <w:t>Source / Efficacy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PROVEN ticker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HEURISTIC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~25–35%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+2.0 to +2.8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Hand-curated list of names with historically favorable long-call P&amp;L.</w:t>
              <w:br/>
              <w:t>Bias-by-design — surfaces names the user has already vetted. Risk: overfit to the curator's past trades. Mitigated by capping the bonus at +8.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AVOID ticker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HEURISTIC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~3–6%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−0.5 to −0.9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Hand-curated AVOID list (chronic chop / scams / failed fundamentals).</w:t>
              <w:br/>
              <w:t>Hard exclusion — AVOID-flagged tickers are NEVER GO regardless of score.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RSI 40-70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~45–55%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+2.7 to +3.3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Wilder 1978; permissive momentum band.</w:t>
              <w:br/>
              <w:t>Broadly-fires baseline filter. IC alone is low; serves as a regime gate so subsequent stricter rules see a sane subset.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RSI 50-65 (Cardwell)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~20–28%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+1.2 to +1.7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Andrew Cardwell 'Trading with Range Shift' (1980s).</w:t>
              <w:br/>
              <w:t>Cardwell's range-shift framework has shown a small but persistent edge in technical literature; best when combined with trend filters.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MACD Hist +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~40–55%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+2.4 to +3.3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Appel 1979; MACD histogram positive.</w:t>
              <w:br/>
              <w:t>Standard momentum confirmation. IC modest standalone, useful as part of a composite.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ADX &gt; 25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~25–35%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+1.5 to +2.1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Wilder 1978 — confirmed trend strength.</w:t>
              <w:br/>
              <w:t>Filters out range-bound names where trend rules don't apply.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ADX 15-25 + DI+&gt;DI-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~10–18%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+0.6 to +1.1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Wilder 1978 — emerging-trend variant.</w:t>
              <w:br/>
              <w:t>Bonus for catching trends BEFORE they're confirmed. Gated by DI+ leading DI−.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EMA20 &gt; EMA50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~45–55%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+4.5 to +5.5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Classic moving-average crossover.</w:t>
              <w:br/>
              <w:t>Short-term trend confirmation. +10 weight reflects relative importance vs. RSI.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TF Aligned 2/3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HEURISTIC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~35–55%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+4.2 to +6.6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Project-specific: multi-timeframe alignment.</w:t>
              <w:br/>
              <w:t>No direct citation; common trader practice of multi-timeframe confluence.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Sector PF &gt; 2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HEURISTIC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~25–35%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+1.3 to +1.8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SECTOR_PF lookup from prior long-call backtest.</w:t>
              <w:br/>
              <w:t>Light bias toward sectors where long calls historically worked. Capped at +5 (soft prior).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52Wk Hi Prox &lt;15%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~20–35%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+1.6 to +2.8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George &amp; Hwang JF 2004 — '52-Week High and Momentum Investing'.</w:t>
              <w:br/>
              <w:t>Replicated factor across markets and decades. Near-52-wk-hi names show consistent forward outperformance.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52Wk Hi Prox &lt;5% (G-H)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~6–12%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+0.4 to +0.7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George &amp; Hwang 2004 — tight-zone bonus.</w:t>
              <w:br/>
              <w:t>Closer to 52-wk-hi → higher forward return. NOT mean-reversion. +6 layered on top of the +8 wider band.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RS &gt; SPY (21d)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~45–55%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+4.5 to +5.5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Jegadeesh-Titman 1993 / Carhart 1997.</w:t>
              <w:br/>
              <w:t>21-day chosen over 5-day per Lehmann 1990 short-term reversal evidence.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Price &gt; EMA200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~50–60%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+3.0 to +3.6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Faber 2007 'A Quantitative Approach to Tactical Asset Allocation'.</w:t>
              <w:br/>
              <w:t>Cut max drawdown ~50% in Faber's backtest while preserving most of the upside.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Analyst Revisions ↑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~10–20%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+1.2 to +2.4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Stickel 1991; Bradshaw 2004.</w:t>
              <w:br/>
              <w:t>Upward analyst revisions reliably precede upward price drift over 30–90 days.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Analyst PT Exists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HEURISTIC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~60–80%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+4.8 to +6.4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Light fundamental confirmation.</w:t>
              <w:br/>
              <w:t>Mostly 'is this name covered'. Useful as sanity check — uncovered names tend to be illiquid or speculative.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GEX Call Flow (55–69%)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~15–25%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+0.6 to +1.0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Dealer-positioning literature (SqueezeMetrics, Spotgamma).</w:t>
              <w:br/>
              <w:t>Emerging call-side OI bias — dealers short gamma, pinning effect on the way up.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GEX Call Flow (70–74%)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~5–10%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+0.3 to +0.6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Dealer-positioning literature — strong-but-not-crowded zone.</w:t>
              <w:br/>
              <w:t>Sweet spot for long-call setups.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GEX Call Flow (≥75%)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~3–7%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−0.2 to −0.4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Council 2026-04-29 finding — extreme positioning mean-reverts on 1-week.</w:t>
              <w:br/>
              <w:t>PENALTY tier. Above 75% call-OI is crowded; dealers pin or fade.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MFI(14) &gt; 50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~35–50%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+3.5 to +5.0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Quong-Soudack 1989 — Money Flow Index.</w:t>
              <w:br/>
              <w:t>Volume-confirmed momentum. Bumped from 7-period after Connors research showed shorter periods are mostly noise.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CMO(9) &gt; 50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~18–28%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+1.3 to +2.0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Chande 1993 — Chande Momentum Oscillator.</w:t>
              <w:br/>
              <w:t>Stricter than MFI — fewer hits but each pass is a stronger signal.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Minervini Trend Template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~5–12%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+0.8 to +1.8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Minervini 'Trade Like a Stock Market Wizard' (2013) — SEPA Stage 2.</w:t>
              <w:br/>
              <w:t>Six computable criteria. Strict but each pass confirms Stage 2 trend.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Pocket Pivot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~3–8%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+0.5 to +1.2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O'Neil / Morales-Kacher 'How to Trade in Stocks' (2010).</w:t>
              <w:br/>
              <w:t>Designed to catch institutional buying BEFORE the obvious breakout.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U/D Volume Ratio (50d)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tiered ~30–50%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+1.2 to +6.0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O'Neil 'How to Make Money in Stocks' (1988) — IBD methodology.</w:t>
              <w:br/>
              <w:t>Replicated across decades by IBD. Tiered weight: +4/+8/+12 at 1.25/1.5/2.0+.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VCP — ATR Contraction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~5–10%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+0.6 to +1.2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Minervini 2013 — Volatility Contraction Pattern.</w:t>
              <w:br/>
              <w:t>ATR(14) today / 30d ago &lt; 0.70 = supply contraction before breakout.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BBW Squeeze (&lt;p20 of 120d)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~20%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+2.0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Bollinger 1980s — Bandwidth compression precedes expansion.</w:t>
              <w:br/>
              <w:t>By construction fires for bottom-20% of trailing 120 days. Regime indicator, not directional.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20d Donchian Breakout + Vol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~3–8%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+0.4 to +1.0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Dennis-Eckhardt 1983-88 — Turtle Traders methodology.</w:t>
              <w:br/>
              <w:t>Best-documented systematic trend-following edge in equity literature.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JT 12-1 Momentum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~10–20%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+2.0 to +4.0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Jegadeesh-Titman 1993; Asness-Moskowitz-Pedersen 2013.</w:t>
              <w:br/>
              <w:t>Strongest replicated factor in equity markets. Highest single-rule weight (+20).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Strong Sector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~25% each tail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+2.0 / −2.0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Sector rotation literature; daily + intraday theme RS.</w:t>
              <w:br/>
              <w:t>Top-quartile = +8, bottom-quartile = −8. Long-calls depend more on sector tailwind.</w:t>
            </w:r>
          </w:p>
        </w:tc>
      </w:tr>
      <w:tr>
        <w:tc>
          <w:tcPr>
            <w:tcW w:type="dxa" w:w="1872"/>
            <w:shd w:val="clear" w:color="auto" w:fill="F5F8FB"/>
          </w:tcPr>
          <w:p>
            <w:r/>
            <w:r>
              <w:rPr>
                <w:sz w:val="18"/>
              </w:rPr>
              <w:t>Broken Trend (penalty)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~30–40%</w:t>
            </w:r>
          </w:p>
        </w:tc>
        <w:tc>
          <w:tcPr>
            <w:tcW w:type="dxa" w:w="1008"/>
            <w:shd w:val="clear" w:color="auto" w:fill="F5F8FB"/>
          </w:tcPr>
          <w:p>
            <w:r/>
            <w:r>
              <w:rPr>
                <w:sz w:val="18"/>
              </w:rPr>
              <w:t>−1.5 to −2.0</w:t>
            </w:r>
          </w:p>
        </w:tc>
        <w:tc>
          <w:tcPr>
            <w:tcW w:type="dxa" w:w="4896"/>
            <w:shd w:val="clear" w:color="auto" w:fill="F5F8FB"/>
          </w:tcPr>
          <w:p>
            <w:r/>
            <w:r>
              <w:rPr>
                <w:sz w:val="18"/>
              </w:rPr>
              <w:t>Trend-following literature.</w:t>
              <w:br/>
              <w:t>Price below EMA50 = calls fight gravity. Penalty only to avoid double-counting.</w:t>
            </w:r>
          </w:p>
        </w:tc>
      </w:tr>
    </w:tbl>
    <w:p>
      <w:r>
        <w:br w:type="page"/>
      </w:r>
    </w:p>
    <w:p>
      <w:r>
        <w:rPr>
          <w:b/>
          <w:color w:val="0B4A7A"/>
          <w:sz w:val="30"/>
        </w:rPr>
        <w:t>2. Strategy-Level Efficacy</w:t>
      </w:r>
    </w:p>
    <w:p>
      <w:r>
        <w:t>Each preset is a curated combination of the rules above. A preset's efficacy depends on which rules dominate its must-pass stack — presets gated by STRONG-tier rules inherit those rules' evidence base.</w:t>
      </w:r>
    </w:p>
    <w:p>
      <w:r>
        <w:rPr>
          <w:b/>
          <w:color w:val="0B4A7A"/>
          <w:sz w:val="24"/>
        </w:rPr>
        <w:t>★ HIGH CONVICTION</w:t>
      </w:r>
    </w:p>
    <w:p>
      <w:r>
        <w:rPr>
          <w:b/>
        </w:rPr>
        <w:t xml:space="preserve">IC-driving factors. </w:t>
      </w:r>
      <w:r>
        <w:t>JT 12-1 (highest replicated IC factor), Minervini Trend (Stage 2 confirmation), Analyst Revisions ↑, PROVEN bias, GEX call flow.</w:t>
      </w:r>
    </w:p>
    <w:p>
      <w:r>
        <w:rPr>
          <w:b/>
        </w:rPr>
        <w:t xml:space="preserve">Selectivity. </w:t>
      </w:r>
      <w:r>
        <w:t>Highest — typically 0–5 matches per scan.</w:t>
      </w:r>
    </w:p>
    <w:p>
      <w:r>
        <w:rPr>
          <w:b/>
        </w:rPr>
        <w:t xml:space="preserve">Expected win rate. </w:t>
      </w:r>
      <w:r>
        <w:t>Unknown empirically (small n=19 backtest); theoretically the highest of any preset given the must-pass stack of three of the strongest factors in the literature. Behavioral risk: small sample → high variance regardless of edge.</w:t>
      </w:r>
    </w:p>
    <w:p>
      <w:r>
        <w:rPr>
          <w:b/>
        </w:rPr>
        <w:t xml:space="preserve">Best for. </w:t>
      </w:r>
      <w:r>
        <w:t>Patient-capital swing entries where the user wants maximum signal confluence and is willing to wait for 0-match days.</w:t>
      </w:r>
    </w:p>
    <w:p>
      <w:r>
        <w:rPr>
          <w:b/>
          <w:color w:val="0B4A7A"/>
          <w:sz w:val="24"/>
        </w:rPr>
        <w:t>▲ BREAKOUT</w:t>
      </w:r>
    </w:p>
    <w:p>
      <w:r>
        <w:rPr>
          <w:b/>
        </w:rPr>
        <w:t xml:space="preserve">IC-driving factors. </w:t>
      </w:r>
      <w:r>
        <w:t>20d Donchian (Turtle Traders), VCP — ATR contraction (Minervini), 52-wk high proximity (George-Hwang), RS &gt; SPY, MACD.</w:t>
      </w:r>
    </w:p>
    <w:p>
      <w:r>
        <w:rPr>
          <w:b/>
        </w:rPr>
        <w:t xml:space="preserve">Selectivity. </w:t>
      </w:r>
      <w:r>
        <w:t>Medium — typically 5–25 matches per scan.</w:t>
      </w:r>
    </w:p>
    <w:p>
      <w:r>
        <w:rPr>
          <w:b/>
        </w:rPr>
        <w:t xml:space="preserve">Expected win rate. </w:t>
      </w:r>
      <w:r>
        <w:t>Donchian breakouts have the longest replicated track record in trend-following systems. Pattern-based; weaker IC than factor-based momentum but cleaner entry timing. Best in trending markets, fails frequently in chop.</w:t>
      </w:r>
    </w:p>
    <w:p>
      <w:r>
        <w:rPr>
          <w:b/>
        </w:rPr>
        <w:t xml:space="preserve">Best for. </w:t>
      </w:r>
      <w:r>
        <w:t>Active traders who want chart-level breakout entries with both volatility-contraction confirmation (VCP) and volume-confirmation (Donchian 1.5×) instead of bare price-only signals.</w:t>
      </w:r>
    </w:p>
    <w:p>
      <w:r>
        <w:rPr>
          <w:b/>
          <w:color w:val="0B4A7A"/>
          <w:sz w:val="24"/>
        </w:rPr>
        <w:t>▶ MOMENTUM</w:t>
      </w:r>
    </w:p>
    <w:p>
      <w:r>
        <w:rPr>
          <w:b/>
        </w:rPr>
        <w:t xml:space="preserve">IC-driving factors. </w:t>
      </w:r>
      <w:r>
        <w:t>JT 12-1 (gold-standard cross-sectional momentum), RS &gt; SPY, Strong Sector (rotation overlay), MACD + EMA200 (trend confirmation).</w:t>
      </w:r>
    </w:p>
    <w:p>
      <w:r>
        <w:rPr>
          <w:b/>
        </w:rPr>
        <w:t xml:space="preserve">Selectivity. </w:t>
      </w:r>
      <w:r>
        <w:t>Medium — typically 5–30 matches per scan.</w:t>
      </w:r>
    </w:p>
    <w:p>
      <w:r>
        <w:rPr>
          <w:b/>
        </w:rPr>
        <w:t xml:space="preserve">Expected win rate. </w:t>
      </w:r>
      <w:r>
        <w:t>Gold-standard preset by IC. JT 12-1 alone has 30+ years of out-of-sample evidence; layering with sector rotation + trend confirmation should improve risk-adjusted returns vs. pure momentum. Weaker in market regime shifts (early 2008, Q1 2020, 2022 H1).</w:t>
      </w:r>
    </w:p>
    <w:p>
      <w:r>
        <w:rPr>
          <w:b/>
        </w:rPr>
        <w:t xml:space="preserve">Best for. </w:t>
      </w:r>
      <w:r>
        <w:t>Trend-followers who want the academic-edge backbone (12-1 momentum) gated by simple trend filters. Sweet spot in persistent uptrends.</w:t>
      </w:r>
    </w:p>
    <w:p>
      <w:r>
        <w:rPr>
          <w:b/>
          <w:color w:val="0B4A7A"/>
          <w:sz w:val="24"/>
        </w:rPr>
        <w:t>◆ BEST ITM CALLS</w:t>
      </w:r>
    </w:p>
    <w:p>
      <w:r>
        <w:rPr>
          <w:b/>
        </w:rPr>
        <w:t xml:space="preserve">IC-driving factors. </w:t>
      </w:r>
      <w:r>
        <w:t>Stacks all three highest-IC rules (JT 12-1, Minervini, Pocket Pivot) + liquidity floors + max option price ceiling.</w:t>
      </w:r>
    </w:p>
    <w:p>
      <w:r>
        <w:rPr>
          <w:b/>
        </w:rPr>
        <w:t xml:space="preserve">Selectivity. </w:t>
      </w:r>
      <w:r>
        <w:t>Very high — typically 0–8 matches per scan.</w:t>
      </w:r>
    </w:p>
    <w:p>
      <w:r>
        <w:rPr>
          <w:b/>
        </w:rPr>
        <w:t xml:space="preserve">Expected win rate. </w:t>
      </w:r>
      <w:r>
        <w:t>Theoretically highest per-trade win rate given the triple-confirmation stack, but smallest sample size. Designed for buying deep-ITM (δ 0.70–0.90) calls where you're paying real premium and need maximum signal confluence.</w:t>
      </w:r>
    </w:p>
    <w:p>
      <w:r>
        <w:rPr>
          <w:b/>
        </w:rPr>
        <w:t xml:space="preserve">Best for. </w:t>
      </w:r>
      <w:r>
        <w:t>Users who want to deploy meaningful premium per name and need every signal aligned before doing so. Liquidity floors prevent slippage.</w:t>
      </w:r>
    </w:p>
    <w:p>
      <w:r>
        <w:rPr>
          <w:b/>
          <w:color w:val="0B4A7A"/>
          <w:sz w:val="24"/>
        </w:rPr>
        <w:t>▲ PRE/POST MARKET</w:t>
      </w:r>
    </w:p>
    <w:p>
      <w:r>
        <w:rPr>
          <w:b/>
        </w:rPr>
        <w:t xml:space="preserve">IC-driving factors. </w:t>
      </w:r>
      <w:r>
        <w:t>Same factor stack as HIGH CONVICTION but re-sorted by |gap %|.</w:t>
      </w:r>
    </w:p>
    <w:p>
      <w:r>
        <w:rPr>
          <w:b/>
        </w:rPr>
        <w:t xml:space="preserve">Selectivity. </w:t>
      </w:r>
      <w:r>
        <w:t>Very high — typically 0–5 matches.</w:t>
      </w:r>
    </w:p>
    <w:p>
      <w:r>
        <w:rPr>
          <w:b/>
        </w:rPr>
        <w:t xml:space="preserve">Expected win rate. </w:t>
      </w:r>
      <w:r>
        <w:t>Surfaces gaps that ALSO pass the high-conviction stack — avoiding the well-known 'gap-and-fade' problem where random earnings gaps mean-revert. Limited evidence for extended-hours edge in liquid names; treat as a session-specific overlay.</w:t>
      </w:r>
    </w:p>
    <w:p>
      <w:r>
        <w:rPr>
          <w:b/>
        </w:rPr>
        <w:t xml:space="preserve">Best for. </w:t>
      </w:r>
      <w:r>
        <w:t>Trading the pre-market or after-hours session when a vetted name has gapped meaningfully (&gt;2–3%). Avoids the random-gapper trap.</w:t>
      </w:r>
    </w:p>
    <w:p>
      <w:r>
        <w:br w:type="page"/>
      </w:r>
    </w:p>
    <w:p>
      <w:r>
        <w:rPr>
          <w:b/>
          <w:color w:val="0B4A7A"/>
          <w:sz w:val="30"/>
        </w:rPr>
        <w:t>3. Caveats &amp; Honest Framing</w:t>
      </w:r>
    </w:p>
    <w:p>
      <w:pPr>
        <w:pStyle w:val="ListBullet"/>
      </w:pPr>
      <w:r>
        <w:t>Hit rates are estimates from observation, not a controlled backtest with full trade attribution. They shift with market regime.</w:t>
      </w:r>
    </w:p>
    <w:p>
      <w:pPr>
        <w:pStyle w:val="ListBullet"/>
      </w:pPr>
      <w:r>
        <w:t>The combined system has an empirical n of 19 trades (2026-04-29 council review). Too small to demonstrate edge statistically; treat rule weights as expert-judgment-with-priors.</w:t>
      </w:r>
    </w:p>
    <w:p>
      <w:pPr>
        <w:pStyle w:val="ListBullet"/>
      </w:pPr>
      <w:r>
        <w:t>Cross-sectional ranking (JT 12-1's true form) is approximated via a hard +25% threshold. True cross-sectional momentum would rank against the universe.</w:t>
      </w:r>
    </w:p>
    <w:p>
      <w:pPr>
        <w:pStyle w:val="ListBullet"/>
      </w:pPr>
      <w:r>
        <w:t>Some rules depend on third-party data (FMP analyst data, GEX). If those data sources are unavailable, the rules score 0.</w:t>
      </w:r>
    </w:p>
    <w:p>
      <w:pPr>
        <w:pStyle w:val="ListBullet"/>
      </w:pPr>
      <w:r>
        <w:t>The PROVEN and AVOID lists are curated. Their efficacy reflects the curator's prior experience, not an out-of-sample test.</w:t>
      </w:r>
    </w:p>
    <w:p>
      <w:r>
        <w:rPr>
          <w:i/>
          <w:color w:val="808080"/>
          <w:sz w:val="18"/>
        </w:rPr>
        <w:t>Companion document: OPTION_PANDA_Scoring_Overview.{pdf,docx} covers the full rule catalog, GO-decision logic, strategy preset definitions, and end-user playbook.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