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4A7A"/>
          <w:sz w:val="44"/>
        </w:rPr>
        <w:t>OPTION PANDA — Scoring System &amp; Strategy Guide</w:t>
      </w:r>
    </w:p>
    <w:p>
      <w:pPr>
        <w:jc w:val="center"/>
      </w:pPr>
      <w:r>
        <w:rPr>
          <w:i/>
          <w:color w:val="606060"/>
          <w:sz w:val="22"/>
        </w:rPr>
        <w:t>A complete walkthrough of how the dashboard rates every ticker, what each rule measures, and how the strategy presets combine them.</w:t>
      </w:r>
    </w:p>
    <w:p>
      <w:pPr>
        <w:jc w:val="center"/>
      </w:pPr>
      <w:r>
        <w:rPr>
          <w:color w:val="808080"/>
          <w:sz w:val="20"/>
        </w:rPr>
        <w:t>v2.18.18 build · 2026-05-13</w:t>
      </w:r>
    </w:p>
    <w:p>
      <w:r>
        <w:br w:type="page"/>
      </w:r>
    </w:p>
    <w:p>
      <w:r>
        <w:rPr>
          <w:b/>
          <w:color w:val="0B4A7A"/>
          <w:sz w:val="30"/>
        </w:rPr>
        <w:t>Executive Summary</w:t>
      </w:r>
    </w:p>
    <w:p>
      <w:r>
        <w:t>OPTION PANDA scores every ticker in its ~2,500-symbol universe against a library of 25+ technical, fundamental, options-flow, and sector rules. Each rule contributes a fixed point weight when its condition fires. The total is clamped to a 0–164 band; tickers at or above the user-tuned Min Score threshold are marked GO.</w:t>
      </w:r>
    </w:p>
    <w:p>
      <w:r>
        <w:t>Five built-in strategy presets layer 'must-pass' filters on top of the score so the user can shift the scanner from broad discovery (any GO) to evidence-gated rarity (HIGH CONVICTION). Each preset is also paired with its own minimum score, calibrated against the observed distribution (peaks 140–160 on a ~164-pt practical max as of the 2026-04-30 retune).</w:t>
      </w:r>
    </w:p>
    <w:p>
      <w:r>
        <w:t>The scoring weights are NOT arbitrary. Every rule was derived from a named academic source, an industry-standard methodology, or a council-reviewed backtest. The most heavily-weighted rules (JT 12-1, Minervini Trend Template, Pocket Pivot, U/D Volume Ratio) are the ones with the strongest replicated edge in the literature.</w:t>
      </w:r>
    </w:p>
    <w:p>
      <w:r>
        <w:t>This document covers: the full rule catalog (math + source + weight), the GO-decision logic and ranking tiebreakers, every strategy preset with its filter set and intent, calibration history, and known limitations.</w:t>
      </w:r>
    </w:p>
    <w:p>
      <w:r>
        <w:rPr>
          <w:b/>
          <w:color w:val="0B4A7A"/>
          <w:sz w:val="30"/>
        </w:rPr>
        <w:t>1. The Scoring Engine</w:t>
      </w:r>
    </w:p>
    <w:p>
      <w:r>
        <w:t>Every ticker enters scoreIt() and runs through ~25 rules grouped into five sections plus overlays. Each rule has a fixed point weight, fires independently, and never short-circuits — a single failing rule doesn't disqualify a ticker, only reduces its total score.</w:t>
      </w:r>
    </w:p>
    <w:p>
      <w:r>
        <w:t>Practical max score = 164 points. Empirical peak in normal markets = 140–160. Default GO threshold = 140 (~85% of practical max).</w:t>
      </w:r>
    </w:p>
    <w:p>
      <w:r>
        <w:rPr>
          <w:b/>
          <w:color w:val="0B4A7A"/>
          <w:sz w:val="30"/>
        </w:rPr>
        <w:t>2. Full Rule Catalog</w:t>
      </w:r>
    </w:p>
    <w:p>
      <w:r>
        <w:t>Every rule the dashboard ships. Weight, what it tests, and the math / academic source. Grouped by section.</w:t>
      </w:r>
    </w:p>
    <w:p>
      <w:r>
        <w:rPr>
          <w:b/>
          <w:color w:val="0B4A7A"/>
          <w:sz w:val="24"/>
        </w:rPr>
        <w:t>Section A — Technical Momentum (Tradier bulk quote)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RSI 40-70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Permissive momentum band — not oversold, not extreme.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RSI(14) ≥ 40 and ≤ 70.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RSI 50-65 (Cardwell)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Cardwell range-shift zone — early entry inside a bull regime.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RSI(14) ≥ 50 and ≤ 65. Bonus on top of RSI 40-70.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MACD Hist +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MACD histogram &gt; 0 — momentum is positive.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Standard 12/26/9 MACD. macdHist &gt; 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ADX &gt; 25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Confirmed trend strength (Wilder's threshold).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ADX(14) &gt; 25.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ADX 15-25 + DI+&gt;DI-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Emerging-trend Wilder original signal — DI+ leading DI- with ADX rising.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ADX(14) ∈ [15, 25] and DI+ &gt; DI-. Fires on detail-load only.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EMA20 &gt; EMA50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Short-term trend above medium-term trend.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EMA(20) &gt; EMA(50) on daily closes.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TF Aligned 2/3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At least 2 of 3 timeframes (daily / hourly / 15-min) point the same direction.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Tradier multi-timeframe quote aggregation. Count of aligned tf ≥ 2.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Sector PF &gt; 2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Ticker's static sector profit-factor &gt; 2 in long-call backtest.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SECTOR_PF lookup table from prior backtests.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52Wk Hi Prox &lt;15%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Price within 15% of the 52-week high — universe-pass for breakout setups.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price ≥ week52hi × 0.85.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52Wk Hi Prox &lt;5% (G-H)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George-Hwang JF 2004 effect: returns concentrate within 5% of 52-wk hi.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≥ week52hi × 0.95. Bonus on top of 15% rule.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RS &gt; SPY (21d)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21-day relative strength positive vs SPY. Falls back to 5-day if 21d missing.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Total return(21d, ticker) − Total return(21d, SPY) &gt; 0. 5d fallback only when 21d unavailable.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Price &gt; EMA200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Above the long-term moving average — long-trend bias.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&gt; EMA(200). Falls back to EMA20 &gt; EMA50 if EMA200 missing.</w:t>
            </w:r>
          </w:p>
        </w:tc>
      </w:tr>
    </w:tbl>
    <w:p>
      <w:r>
        <w:rPr>
          <w:b/>
          <w:color w:val="0B4A7A"/>
          <w:sz w:val="24"/>
        </w:rPr>
        <w:t>Section B — Fundamentals / FMP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Analyst Revisions ↑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analysts have raised estimates and there are recent upgrades.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FMP analyst estimates: revisionsUp ≥ 2 AND upgradesLast30 &gt; 0. Long-calls bias: upward revisions outperform downward revisions (asymmetry — weighted higher than original +12 here, see commit log).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Analyst PT Exists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A consensus analyst price target is published.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FMP price target: ptConsensus present. Light fundamental confirmation.</w:t>
            </w:r>
          </w:p>
        </w:tc>
      </w:tr>
    </w:tbl>
    <w:p>
      <w:r>
        <w:rPr>
          <w:b/>
          <w:color w:val="0B4A7A"/>
          <w:sz w:val="24"/>
        </w:rPr>
        <w:t>Section C — GEX / Options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GEX Call Flow (55–69%)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Emerging call-side OI bias in the 30-DTE chain (constructive but not crowded).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GEX call% of OI ∈ [55, 69].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GEX Call Flow (70–74%)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Strong but not overcrowded call-side flow.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GEX call% of OI ∈ [70, 74].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GEX Call Flow (≥75%)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-6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Overcrowded call-side OI — contrarian signal, dealers pin/fade.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GEX call% of OI ≥ 75. PENALTY (council 3/3 finding: extreme positioning is reliably negative on a 1-week horizon).</w:t>
            </w:r>
          </w:p>
        </w:tc>
      </w:tr>
    </w:tbl>
    <w:p>
      <w:r>
        <w:rPr>
          <w:b/>
          <w:color w:val="0B4A7A"/>
          <w:sz w:val="24"/>
        </w:rPr>
        <w:t>Section D — Momentum Acceleration (history-based)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MFI(14) &gt; 50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Money Flow Index above midline — rising volume-weighted momentum.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MFI(14) &gt; 50 (RSI mid-line analog with volume). Council 2026-04-29: 14-period is Chande standard; 7 was too noisy.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CMO(9) &gt; 50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Chande Momentum Oscillator &gt; 50 (Chande's original 1993 threshold).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CMO(9) &gt; 50. 9-period is Chande-documented swing horizon.</w:t>
            </w:r>
          </w:p>
        </w:tc>
      </w:tr>
    </w:tbl>
    <w:p>
      <w:r>
        <w:rPr>
          <w:b/>
          <w:color w:val="0B4A7A"/>
          <w:sz w:val="24"/>
        </w:rPr>
        <w:t>Section E — Evidence-Based Swing Rules (history-based)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Minervini Trend Template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Stage 2 trend confirmation — 6 of 8 SEPA criteria computable from daily bars.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six must pass: price &gt; MA50; price &gt; MA150; price &gt; MA200; MA50 &gt; MA150 &gt; MA200; MA200 rising vs 22 bars ago; ≥30% above 52-wk low. Source: Mark Minervini 'Trade Like a Stock Market Wizard' (2013) SEPA.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Pocket Pivot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O'Neil / Morales-Kacher institutional accumulation signal.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Today's volume &gt; largest down-day volume of prior 10 days AND close &gt; MA10 AND close in upper half of day's range AND ≤5% extended from MA10.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U/D Volume Ratio (50d)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+12 / +8 / +4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Up-volume vs down-volume ratio over trailing 50 sessions (O'Neil IBD).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Σ(volume on up-close days) / Σ(volume on down-close days) over 50d. ≥2.0 = +12 (strong sponsorship); ≥1.5 = +8 (accumulation); ≥1.25 = +4 (mild); &lt;1.25 = 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VCP — ATR Contraction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Volatility Contraction Pattern: supply drying up before breakout.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ATR(14) today / ATR(14) 30 sessions ago &lt; 0.70. Minervini methodology.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BBW Squeeze (&lt;p20 of 120d)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Bollinger Band-width compressed in the bottom 20% of its trailing range.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BB(20, 2σ) width / mean. Today's value ≤ 20th-percentile of last 120 days.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20d Donchian Breakout + Vol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Turtle Traders breakout — Dennis / Eckhardt 1983-88 methodology.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today close &gt; 20-day high AND today volume ≥ 1.5 × 50-day avg volume.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JT 12-1 Momentum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Cross-sectional momentum, skip last month (Jegadeesh-Titman 1993).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Return from t-252 to t-21 (12 months, skipping recent month). Threshold: ≥ +25% (top-quintile proxy). Single strongest replicated factor in equity literature.</w:t>
            </w:r>
          </w:p>
        </w:tc>
      </w:tr>
    </w:tbl>
    <w:p>
      <w:r>
        <w:rPr>
          <w:b/>
          <w:color w:val="0B4A7A"/>
          <w:sz w:val="24"/>
        </w:rPr>
        <w:t>Overlays &amp; Penalties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PROVEN ticker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Ticker is on the curated PROVEN good-mover list.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Hand-maintained list. +8 flat bonus.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AVOID ticker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Ticker is on the curated AVOID list (chronic chop / scams / fundamentals).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Hand-maintained list. -15 flat penalty and forced NO-GO.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Strong Sector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+8 / -8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+ intraday theme RS overlay vs SPY.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Combined daily + intraday theme score. ≥75 = +8 (top quartile); ≤25 = -8 (bottom quartile). Intraday rotation can trigger same-day.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Broken Trend (penalty)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-5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Price below EMA50 — medium-term trend broken; calls fight gravity.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&lt; EMA(50). Penalty only — no positive credit (already implicit in EMA20&gt;EMA50 and Price&gt;EMA200 rules).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3. GO Decision &amp; Ranking</w:t>
      </w:r>
    </w:p>
    <w:p>
      <w:r>
        <w:rPr>
          <w:b/>
          <w:color w:val="0B4A7A"/>
          <w:sz w:val="24"/>
        </w:rPr>
        <w:t>How the GO flag is set</w:t>
      </w:r>
    </w:p>
    <w:p>
      <w:r>
        <w:t>After all rules fire, the raw score is clamped to the 0–164 band. Penalties (Broken Trend −5, weak sector −8, AVOID −15) can drive the subtotal negative; the clamp forces it to 0 so the threshold comparator doesn't see nonsensical scores.</w:t>
      </w:r>
    </w:p>
    <w:p>
      <w:r>
        <w:t>GO threshold is read from the Min Score input on the scanner tab. Default 140 was calibrated 2026-04-30 against the observed distribution (peaks 140–160 on a ~164-pt practical max). Lowering the threshold widens the GO list; raising it tightens. Strategy presets override the default with their own per-strategy min-score (see preset table).</w:t>
      </w:r>
    </w:p>
    <w:p>
      <w:r>
        <w:t>AVOID-list tickers can NEVER be GO regardless of score — the AVOID flag forces NO-GO downstream of the score clamp.</w:t>
      </w:r>
    </w:p>
    <w:p>
      <w:r>
        <w:rPr>
          <w:b/>
          <w:color w:val="0B4A7A"/>
          <w:sz w:val="24"/>
        </w:rPr>
        <w:t>Tiebreaker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DBE7F3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7776"/>
            <w:shd w:val="clear" w:color="auto" w:fill="DBE7F3"/>
          </w:tcPr>
          <w:p>
            <w:r/>
            <w:r>
              <w:rPr>
                <w:b/>
                <w:sz w:val="19"/>
              </w:rPr>
              <w:t>Field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1. Score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Primary sort — descending.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2. techScore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Sum of all Section A + D + E rules. Stronger technical setup wins when total scores tie.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3. relStr5d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5-day relative-strength % vs SPY. Stronger short-term momentum wins.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4. Theme dailyScore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Sector / theme strength from theme_scores.json. Stronger sector context wins.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5. Volume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Daily volume — liquidity floor as the final tie-break.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4. Strategy Presets</w:t>
      </w:r>
    </w:p>
    <w:p>
      <w:r>
        <w:t>Five preset combinations layer must-pass filters on top of the score, plus their own minimum score threshold. Click any preset chip in the STRATEGY row to apply.</w:t>
      </w:r>
    </w:p>
    <w:p>
      <w:r>
        <w:rPr>
          <w:b/>
          <w:color w:val="0B4A7A"/>
          <w:sz w:val="24"/>
        </w:rPr>
        <w:t>★ HIGH CONVICTION — Min Score 140</w:t>
      </w:r>
    </w:p>
    <w:p>
      <w:r>
        <w:rPr>
          <w:b/>
        </w:rPr>
        <w:t xml:space="preserve">Intent. </w:t>
      </w:r>
      <w:r>
        <w:t>Rarest, highest-quality setups. Stacks the two highest-IC scoring rules (JT 12-1 at +20 and Minervini at +15) as MUST-PASS instead of merely contributing to the score. A ticker can score 160+ on other rules but still fail this preset if either trend confirmation is missing.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PROVEN ticker</w:t>
      </w:r>
    </w:p>
    <w:p>
      <w:pPr>
        <w:pStyle w:val="ListBullet"/>
      </w:pPr>
      <w:r>
        <w:t>Analyst Revisions ↑</w:t>
      </w:r>
    </w:p>
    <w:p>
      <w:pPr>
        <w:pStyle w:val="ListBullet"/>
      </w:pPr>
      <w:r>
        <w:t>GEX Call Heavy (≥55%)</w:t>
      </w:r>
    </w:p>
    <w:p>
      <w:pPr>
        <w:pStyle w:val="ListBullet"/>
      </w:pPr>
      <w:r>
        <w:t>JT 12-1 Momentum (≥25%, top-quintile proxy)</w:t>
      </w:r>
    </w:p>
    <w:p>
      <w:pPr>
        <w:pStyle w:val="ListBullet"/>
      </w:pPr>
      <w:r>
        <w:t>Minervini Trend Template (6/6)</w:t>
      </w:r>
    </w:p>
    <w:p>
      <w:r>
        <w:rPr>
          <w:b/>
        </w:rPr>
        <w:t xml:space="preserve">Expected matches. </w:t>
      </w:r>
      <w:r>
        <w:t>0–5 matches per scan in normal market conditions.</w:t>
      </w:r>
    </w:p>
    <w:p>
      <w:r>
        <w:rPr>
          <w:b/>
        </w:rPr>
        <w:t xml:space="preserve">Efficacy / rationale. </w:t>
      </w:r>
      <w:r>
        <w:t>Designed for swing entries where the user wants maximum signal confluence before paying premium. Backed by: JT 12-1 = strongest replicated cross-sectional factor (Asness-Moskowitz-Pedersen 2013); Minervini SEPA = Stage 2 trend filter (Minervini 2013); analyst revisions = upward earnings surprise lead indicator (Stickel 1991, Bradshaw 2004); PROVEN ticker bias = curated list of names with favorable historical long-call distribution.</w:t>
      </w:r>
    </w:p>
    <w:p>
      <w:r>
        <w:rPr>
          <w:b/>
          <w:color w:val="0B4A7A"/>
          <w:sz w:val="24"/>
        </w:rPr>
        <w:t>▲ BREAKOUT — Min Score 125</w:t>
      </w:r>
    </w:p>
    <w:p>
      <w:r>
        <w:rPr>
          <w:b/>
        </w:rPr>
        <w:t xml:space="preserve">Intent. </w:t>
      </w:r>
      <w:r>
        <w:t>Chart-pattern-driven breakout buying with momentum + leadership. Donchian and VCP are the two highest-IC pure-pattern breakout rules; requiring BOTH filters out fake-out names that just look extended without the underlying volatility-contraction or volume-confirmation signal.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52Wk Hi Prox &lt;15%</w:t>
      </w:r>
    </w:p>
    <w:p>
      <w:pPr>
        <w:pStyle w:val="ListBullet"/>
      </w:pPr>
      <w:r>
        <w:t>RS &gt; SPY</w:t>
      </w:r>
    </w:p>
    <w:p>
      <w:pPr>
        <w:pStyle w:val="ListBullet"/>
      </w:pPr>
      <w:r>
        <w:t>MACD Hist +</w:t>
      </w:r>
    </w:p>
    <w:p>
      <w:pPr>
        <w:pStyle w:val="ListBullet"/>
      </w:pPr>
      <w:r>
        <w:t>TF Aligned 2/3</w:t>
      </w:r>
    </w:p>
    <w:p>
      <w:pPr>
        <w:pStyle w:val="ListBullet"/>
      </w:pPr>
      <w:r>
        <w:t>20d Donchian Breakout + Vol</w:t>
      </w:r>
    </w:p>
    <w:p>
      <w:pPr>
        <w:pStyle w:val="ListBullet"/>
      </w:pPr>
      <w:r>
        <w:t>VCP — ATR Contraction</w:t>
      </w:r>
    </w:p>
    <w:p>
      <w:r>
        <w:rPr>
          <w:b/>
        </w:rPr>
        <w:t xml:space="preserve">Expected matches. </w:t>
      </w:r>
      <w:r>
        <w:t>5–25 matches per scan, market-regime dependent.</w:t>
      </w:r>
    </w:p>
    <w:p>
      <w:r>
        <w:rPr>
          <w:b/>
        </w:rPr>
        <w:t xml:space="preserve">Efficacy / rationale. </w:t>
      </w:r>
      <w:r>
        <w:t>Two-mode confirmation: (i) chart-level breakout via 20-day Donchian high with 1.5× volume (Turtle Traders methodology, Dennis-Eckhardt 1983-88); (ii) volatility contraction prior to the break (Minervini VCP — ATR(14) ratio &lt; 0.70). Combined with relative strength + MACD positive + multi-timeframe alignment to screen out reversion-to-mean candidates.</w:t>
      </w:r>
    </w:p>
    <w:p>
      <w:r>
        <w:rPr>
          <w:b/>
          <w:color w:val="0B4A7A"/>
          <w:sz w:val="24"/>
        </w:rPr>
        <w:t>▶ MOMENTUM — Min Score 120</w:t>
      </w:r>
    </w:p>
    <w:p>
      <w:r>
        <w:rPr>
          <w:b/>
        </w:rPr>
        <w:t xml:space="preserve">Intent. </w:t>
      </w:r>
      <w:r>
        <w:t>Confirmed trending stocks with sector tailwind, gated by the academic gold-standard 12-1 cross-sectional momentum signal. Making JT 12-1 MUST-PASS turns this preset from 'trendy' into 'trendy AND riding the strongest published factor'.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MACD Hist +</w:t>
      </w:r>
    </w:p>
    <w:p>
      <w:pPr>
        <w:pStyle w:val="ListBullet"/>
      </w:pPr>
      <w:r>
        <w:t>Price &gt; EMA200</w:t>
      </w:r>
    </w:p>
    <w:p>
      <w:pPr>
        <w:pStyle w:val="ListBullet"/>
      </w:pPr>
      <w:r>
        <w:t>RS &gt; SPY</w:t>
      </w:r>
    </w:p>
    <w:p>
      <w:pPr>
        <w:pStyle w:val="ListBullet"/>
      </w:pPr>
      <w:r>
        <w:t>Strong Sector</w:t>
      </w:r>
    </w:p>
    <w:p>
      <w:pPr>
        <w:pStyle w:val="ListBullet"/>
      </w:pPr>
      <w:r>
        <w:t>JT 12-1 Momentum</w:t>
      </w:r>
    </w:p>
    <w:p>
      <w:r>
        <w:rPr>
          <w:b/>
        </w:rPr>
        <w:t xml:space="preserve">Expected matches. </w:t>
      </w:r>
      <w:r>
        <w:t>5–30 matches per scan during trending markets, fewer in chop.</w:t>
      </w:r>
    </w:p>
    <w:p>
      <w:r>
        <w:rPr>
          <w:b/>
        </w:rPr>
        <w:t xml:space="preserve">Efficacy / rationale. </w:t>
      </w:r>
      <w:r>
        <w:t>Primary edge is the 12-1 cross-sectional momentum (Jegadeesh-Titman 1993, Asness-Moskowitz-Pedersen 2013). Layered with sector rotation (theme overlay top quartile) and standard trend confirmation (MACD, EMA200, RS). Lower min-score (120) reflects looser breakout requirement vs. BREAKOUT preset — more inclusive of mid-trend continuations.</w:t>
      </w:r>
    </w:p>
    <w:p>
      <w:r>
        <w:rPr>
          <w:b/>
          <w:color w:val="0B4A7A"/>
          <w:sz w:val="24"/>
        </w:rPr>
        <w:t>◆ BEST ITM CALLS — Min Score 145</w:t>
      </w:r>
    </w:p>
    <w:p>
      <w:r>
        <w:rPr>
          <w:b/>
        </w:rPr>
        <w:t xml:space="preserve">Intent. </w:t>
      </w:r>
      <w:r>
        <w:t>Deep-ITM (δ 0.70–0.90) calls on names that pass ALL THREE of the highest-IC scoring rules. You're paying real premium for deep-ITM contracts — only setups confirmed by 12-month momentum + Stage 2 trend template + institutional accumulation should graduate.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MACD Hist +</w:t>
      </w:r>
    </w:p>
    <w:p>
      <w:pPr>
        <w:pStyle w:val="ListBullet"/>
      </w:pPr>
      <w:r>
        <w:t>Price &gt; EMA200</w:t>
      </w:r>
    </w:p>
    <w:p>
      <w:pPr>
        <w:pStyle w:val="ListBullet"/>
      </w:pPr>
      <w:r>
        <w:t>RS &gt; SPY</w:t>
      </w:r>
    </w:p>
    <w:p>
      <w:pPr>
        <w:pStyle w:val="ListBullet"/>
      </w:pPr>
      <w:r>
        <w:t>JT 12-1 Momentum</w:t>
      </w:r>
    </w:p>
    <w:p>
      <w:pPr>
        <w:pStyle w:val="ListBullet"/>
      </w:pPr>
      <w:r>
        <w:t>Minervini Trend Template</w:t>
      </w:r>
    </w:p>
    <w:p>
      <w:pPr>
        <w:pStyle w:val="ListBullet"/>
      </w:pPr>
      <w:r>
        <w:t>Pocket Pivot</w:t>
      </w:r>
    </w:p>
    <w:p>
      <w:pPr>
        <w:pStyle w:val="ListBullet"/>
      </w:pPr>
      <w:r>
        <w:t>Price ≥ $5</w:t>
      </w:r>
    </w:p>
    <w:p>
      <w:pPr>
        <w:pStyle w:val="ListBullet"/>
      </w:pPr>
      <w:r>
        <w:t>Avg Volume ≥ 1,000,000</w:t>
      </w:r>
    </w:p>
    <w:p>
      <w:pPr>
        <w:pStyle w:val="ListBullet"/>
      </w:pPr>
      <w:r>
        <w:t>Vol ratio ≥ 100% (today vs avg)</w:t>
      </w:r>
    </w:p>
    <w:p>
      <w:pPr>
        <w:pStyle w:val="ListBullet"/>
      </w:pPr>
      <w:r>
        <w:t>Max option price ≤ $8</w:t>
      </w:r>
    </w:p>
    <w:p>
      <w:r>
        <w:rPr>
          <w:b/>
        </w:rPr>
        <w:t xml:space="preserve">Expected matches. </w:t>
      </w:r>
      <w:r>
        <w:t>0–8 matches per scan; very selective.</w:t>
      </w:r>
    </w:p>
    <w:p>
      <w:r>
        <w:rPr>
          <w:b/>
        </w:rPr>
        <w:t xml:space="preserve">Efficacy / rationale. </w:t>
      </w:r>
      <w:r>
        <w:t>Highest-signal preset by construction. Designed to surface names where (a) you can afford the contract (≤$8 ceiling), (b) liquidity is real (≥$5 underlying, ≥1M avg volume, today's volume ≥ average), and (c) the trend / momentum / accumulation signals all agree. Pocket Pivot is the institutional-buying flag — distinguishes true accumulation from just-rallying-on-air.</w:t>
      </w:r>
    </w:p>
    <w:p>
      <w:r>
        <w:rPr>
          <w:b/>
          <w:color w:val="0B4A7A"/>
          <w:sz w:val="24"/>
        </w:rPr>
        <w:t>▲ PRE/POST MARKET — Min Score 140</w:t>
      </w:r>
    </w:p>
    <w:p>
      <w:r>
        <w:rPr>
          <w:b/>
        </w:rPr>
        <w:t xml:space="preserve">Intent. </w:t>
      </w:r>
      <w:r>
        <w:t>Extended-hours gappers screened with the SAME filters as HIGH CONVICTION, then re-sorted by absolute gap %. Use any time the extended-hours session is active or on weekends.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PROVEN ticker</w:t>
      </w:r>
    </w:p>
    <w:p>
      <w:pPr>
        <w:pStyle w:val="ListBullet"/>
      </w:pPr>
      <w:r>
        <w:t>Analyst Revisions ↑</w:t>
      </w:r>
    </w:p>
    <w:p>
      <w:pPr>
        <w:pStyle w:val="ListBullet"/>
      </w:pPr>
      <w:r>
        <w:t>GEX Call Heavy (≥55%)</w:t>
      </w:r>
    </w:p>
    <w:p>
      <w:pPr>
        <w:pStyle w:val="ListBullet"/>
      </w:pPr>
      <w:r>
        <w:t>JT 12-1 Momentum</w:t>
      </w:r>
    </w:p>
    <w:p>
      <w:pPr>
        <w:pStyle w:val="ListBullet"/>
      </w:pPr>
      <w:r>
        <w:t>Minervini Trend Template</w:t>
      </w:r>
    </w:p>
    <w:p>
      <w:pPr>
        <w:pStyle w:val="ListBullet"/>
      </w:pPr>
      <w:r>
        <w:t>Sort: |gap %| descending (overrides standard score sort)</w:t>
      </w:r>
    </w:p>
    <w:p>
      <w:r>
        <w:rPr>
          <w:b/>
        </w:rPr>
        <w:t xml:space="preserve">Expected matches. </w:t>
      </w:r>
      <w:r>
        <w:t>0–5 matches; same selectivity as HIGH CONVICTION, re-ordered by gap size.</w:t>
      </w:r>
    </w:p>
    <w:p>
      <w:r>
        <w:rPr>
          <w:b/>
        </w:rPr>
        <w:t xml:space="preserve">Efficacy / rationale. </w:t>
      </w:r>
      <w:r>
        <w:t>Behaviorally important: the user explicitly wanted to filter out random gappers and ONLY surface big movers that also pass the high-conviction gate. Tradier's `change_percentage` reflects extended-hours quotes during 3–8:30am CST (pre) and 3–7pm CST (post); on weekends it shows the most recent extended-hours print.</w:t>
      </w:r>
    </w:p>
    <w:p>
      <w:r>
        <w:rPr>
          <w:b/>
          <w:color w:val="0B4A7A"/>
          <w:sz w:val="24"/>
        </w:rPr>
        <w:t>Strategy comparison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DBE7F3"/>
          </w:tcPr>
          <w:p>
            <w:r/>
            <w:r>
              <w:rPr>
                <w:b/>
                <w:sz w:val="19"/>
              </w:rPr>
              <w:t>Preset</w:t>
            </w:r>
          </w:p>
        </w:tc>
        <w:tc>
          <w:tcPr>
            <w:tcW w:type="dxa" w:w="1152"/>
            <w:shd w:val="clear" w:color="auto" w:fill="DBE7F3"/>
          </w:tcPr>
          <w:p>
            <w:r/>
            <w:r>
              <w:rPr>
                <w:b/>
                <w:sz w:val="19"/>
              </w:rPr>
              <w:t>Min Score</w:t>
            </w:r>
          </w:p>
        </w:tc>
        <w:tc>
          <w:tcPr>
            <w:tcW w:type="dxa" w:w="1440"/>
            <w:shd w:val="clear" w:color="auto" w:fill="DBE7F3"/>
          </w:tcPr>
          <w:p>
            <w:r/>
            <w:r>
              <w:rPr>
                <w:b/>
                <w:sz w:val="19"/>
              </w:rPr>
              <w:t># Must-Pass</w:t>
            </w:r>
          </w:p>
        </w:tc>
        <w:tc>
          <w:tcPr>
            <w:tcW w:type="dxa" w:w="4608"/>
            <w:shd w:val="clear" w:color="auto" w:fill="DBE7F3"/>
          </w:tcPr>
          <w:p>
            <w:r/>
            <w:r>
              <w:rPr>
                <w:b/>
                <w:sz w:val="19"/>
              </w:rPr>
              <w:t>Expected hits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★ HIGH CONVICTION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0–5 matches per scan in normal market conditions.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sz w:val="18"/>
              </w:rPr>
              <w:t>▲ BREAKOUT</w:t>
            </w:r>
          </w:p>
        </w:tc>
        <w:tc>
          <w:tcPr>
            <w:tcW w:type="dxa" w:w="1152"/>
            <w:shd w:val="clear" w:color="auto" w:fill="F5F8FB"/>
          </w:tcPr>
          <w:p>
            <w:r/>
            <w:r>
              <w:rPr>
                <w:sz w:val="18"/>
              </w:rPr>
              <w:t>125</w:t>
            </w:r>
          </w:p>
        </w:tc>
        <w:tc>
          <w:tcPr>
            <w:tcW w:type="dxa" w:w="144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608"/>
            <w:shd w:val="clear" w:color="auto" w:fill="F5F8FB"/>
          </w:tcPr>
          <w:p>
            <w:r/>
            <w:r>
              <w:rPr>
                <w:sz w:val="18"/>
              </w:rPr>
              <w:t>5–25 matches per scan, market-regime dependent.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▶ MOMENTUM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5–30 matches per scan during trending markets, fewer in chop.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sz w:val="18"/>
              </w:rPr>
              <w:t>◆ BEST ITM CALLS</w:t>
            </w:r>
          </w:p>
        </w:tc>
        <w:tc>
          <w:tcPr>
            <w:tcW w:type="dxa" w:w="1152"/>
            <w:shd w:val="clear" w:color="auto" w:fill="F5F8FB"/>
          </w:tcPr>
          <w:p>
            <w:r/>
            <w:r>
              <w:rPr>
                <w:sz w:val="18"/>
              </w:rPr>
              <w:t>145</w:t>
            </w:r>
          </w:p>
        </w:tc>
        <w:tc>
          <w:tcPr>
            <w:tcW w:type="dxa" w:w="1440"/>
            <w:shd w:val="clear" w:color="auto" w:fill="F5F8FB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608"/>
            <w:shd w:val="clear" w:color="auto" w:fill="F5F8FB"/>
          </w:tcPr>
          <w:p>
            <w:r/>
            <w:r>
              <w:rPr>
                <w:sz w:val="18"/>
              </w:rPr>
              <w:t>0–8 matches per scan; very selective.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▲ PRE/POST MARKET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0–5 matches; same selectivity as HIGH CONVICTION, re-ordered by gap size.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5. Calibration History</w:t>
      </w:r>
    </w:p>
    <w:p>
      <w:r>
        <w:t>The rule set and thresholds were derived through a structured review process ("council" — domain advisors for quant, microstructure, risk, behavioral, engineering). Each entry below is a dated change to the scoring system with the rationale.</w:t>
      </w:r>
    </w:p>
    <w:p>
      <w:r>
        <w:rPr>
          <w:b/>
          <w:color w:val="0B4A7A"/>
          <w:sz w:val="22"/>
        </w:rPr>
        <w:t>2026-04-29 council overhaul (drops)</w:t>
      </w:r>
    </w:p>
    <w:p>
      <w:r>
        <w:t>Removed three anti-signal rules: RSI(7) Accel (≈70% noise per Connors), 5d %chg Accel (Lehmann 1990 short-term reversal), Vol &gt; Avg flat threshold (too crude — replaced by U/D Volume Ratio).</w:t>
      </w:r>
    </w:p>
    <w:p>
      <w:r>
        <w:rPr>
          <w:b/>
          <w:color w:val="0B4A7A"/>
          <w:sz w:val="22"/>
        </w:rPr>
        <w:t>2026-04-29 council overhaul (retunes)</w:t>
      </w:r>
    </w:p>
    <w:p>
      <w:r>
        <w:t>Tightened existing rules to evidence-based parameters: RSI band → Cardwell range-shift; MFI(7) → MFI(14) &gt; 50; CMO zero-cross → CMO(9) &gt; 50; 5d RS → 21d RS; 52-wk Hi &lt;15% → &lt;15% pass + &lt;5% George-Hwang bonus.</w:t>
      </w:r>
    </w:p>
    <w:p>
      <w:r>
        <w:rPr>
          <w:b/>
          <w:color w:val="0B4A7A"/>
          <w:sz w:val="22"/>
        </w:rPr>
        <w:t>2026-04-29 council overhaul (additions)</w:t>
      </w:r>
    </w:p>
    <w:p>
      <w:r>
        <w:t>Added 7 evidence-based rules: Minervini Template (+15), Pocket Pivot (+15), U/D Volume Ratio (+4/+8/+12), VCP (+12), BBW Squeeze (+10), Donchian (+12), JT 12-1 Momentum (+20). Practical max raised from ~110 to ~164.</w:t>
      </w:r>
    </w:p>
    <w:p>
      <w:r>
        <w:rPr>
          <w:b/>
          <w:color w:val="0B4A7A"/>
          <w:sz w:val="22"/>
        </w:rPr>
        <w:t>2026-04-30 GO threshold retune</w:t>
      </w:r>
    </w:p>
    <w:p>
      <w:r>
        <w:t>Default GO threshold raised 100 → 150, then re-calibrated 2026-05-03 to 140 against the observed distribution. New rules rarely hit max simultaneously — distribution peak sits 140–160, not 165+.</w:t>
      </w:r>
    </w:p>
    <w:p>
      <w:r>
        <w:rPr>
          <w:b/>
          <w:color w:val="0B4A7A"/>
          <w:sz w:val="22"/>
        </w:rPr>
        <w:t>2026-05-01 GEX retune</w:t>
      </w:r>
    </w:p>
    <w:p>
      <w:r>
        <w:t>GEX Call Flow rule moved from flat +6 to tiered with extreme-positioning PENALTY: 55–69% = +4 (emerging), 70–74% = +6 (strong), ≥75% = −6 (overcrowded contrarian). Backed by council finding that ≥75% OI on calls reliably mean-reverts on a 1-week horizon.</w:t>
      </w:r>
    </w:p>
    <w:p>
      <w:r>
        <w:rPr>
          <w:b/>
          <w:color w:val="0B4A7A"/>
          <w:sz w:val="22"/>
        </w:rPr>
        <w:t>2026-05-04 Analyst Revisions bump</w:t>
      </w:r>
    </w:p>
    <w:p>
      <w:r>
        <w:t>Analyst Revisions ↑ bumped +12 → +16 for the long-calls-only user. Upward revisions outperform downward revisions asymmetrically — call-only strategies should weight bullish signals more heavily.</w:t>
      </w:r>
    </w:p>
    <w:p>
      <w:r>
        <w:rPr>
          <w:b/>
          <w:color w:val="0B4A7A"/>
          <w:sz w:val="22"/>
        </w:rPr>
        <w:t>2026-05-03 Strong Sector bump</w:t>
      </w:r>
    </w:p>
    <w:p>
      <w:r>
        <w:t>Strong Sector ±5 → ±8. Bullish unhedged bets depend more heavily on sector tailwind than hedged or directional-pair strategies do.</w:t>
      </w:r>
    </w:p>
    <w:p>
      <w:r>
        <w:rPr>
          <w:b/>
          <w:color w:val="0B4A7A"/>
          <w:sz w:val="30"/>
        </w:rPr>
        <w:t>6. Efficacy &amp; Known Limitations</w:t>
      </w:r>
    </w:p>
    <w:p>
      <w:r>
        <w:t>Honest framing: the rule weights and thresholds are expert-judgment-informed-by-literature, not empirically backed by a large-sample backtest of THIS COMBINED SYSTEM. Treat the score as a structured checklist, not a guaranteed edge.</w:t>
      </w:r>
    </w:p>
    <w:p>
      <w:pPr>
        <w:pStyle w:val="ListBullet"/>
      </w:pPr>
      <w:r>
        <w:t>Single-leg long-call bias. The scoring is explicitly tuned for long-call swing trades. It is not validated for short premium, spreads, puts, or longer-than-50-DTE positions.</w:t>
      </w:r>
    </w:p>
    <w:p>
      <w:pPr>
        <w:pStyle w:val="ListBullet"/>
      </w:pPr>
      <w:r>
        <w:t>Backtest n=19 trades (2026-04-29 council review). The empirical edge of the combined system is small and not statistically separated from noise. Two-thirds of cumulative P&amp;L came from one outlier (POET 12.5C, 8-DTE, +$1,225). Treat all rule weights as expert-judgment-with-priors, not empirically-validated weights.</w:t>
      </w:r>
    </w:p>
    <w:p>
      <w:pPr>
        <w:pStyle w:val="ListBullet"/>
      </w:pPr>
      <w:r>
        <w:t>Some rules require ≥210 daily bars (Minervini, Donchian, U/D Volume, BBW). Fresh IPOs or newly-uplisted symbols are flagged with dataGap = true and treated as 'unknown', NOT as failed. Strategies that require those rules MUST-PASS will simply exclude such names.</w:t>
      </w:r>
    </w:p>
    <w:p>
      <w:pPr>
        <w:pStyle w:val="ListBullet"/>
      </w:pPr>
      <w:r>
        <w:t>GEX data is sourced from a separate options-flow tab (runs once per scan + scheduled at 9:35 / 12:00 / 15:00 ET on weekdays). If GEX hasn't run yet the GEX Call Flow rule scores 0 — neither bonus nor penalty. Strategies that MUST-PASS GEX will exclude all tickers until GEX data lands.</w:t>
      </w:r>
    </w:p>
    <w:p>
      <w:pPr>
        <w:pStyle w:val="ListBullet"/>
      </w:pPr>
      <w:r>
        <w:t>Cross-sectional ranking (JT 12-1's true form) is approximated via a hard +25% threshold rather than ranking against the universe simultaneously. This is a simplification — true cross-sectional momentum would require computing returns for every scanned ticker before classifying. Threshold is set near the historical top-quintile cut.</w:t>
      </w:r>
    </w:p>
    <w:p>
      <w:pPr>
        <w:pStyle w:val="ListBullet"/>
      </w:pPr>
      <w:r>
        <w:t>Theme / sector overlay depends on theme_scores.json which is regenerated by a nightly GitHub Actions cron. If the cron fails (network blip, Tradier outage, etc.), the Strong Sector rule pass-throughs (no bonus / no penalty) so the rest of the scoring still works.</w:t>
      </w:r>
    </w:p>
    <w:p>
      <w:r>
        <w:br w:type="page"/>
      </w:r>
    </w:p>
    <w:p>
      <w:r>
        <w:rPr>
          <w:b/>
          <w:color w:val="0B4A7A"/>
          <w:sz w:val="30"/>
        </w:rPr>
        <w:t>7. End-User Playbook</w:t>
      </w:r>
    </w:p>
    <w:p>
      <w:r>
        <w:t>Step-by-step for someone opening the dashboard for the first time.</w:t>
      </w:r>
    </w:p>
    <w:p>
      <w:r>
        <w:rPr>
          <w:b/>
          <w:color w:val="0B4A7A"/>
          <w:sz w:val="22"/>
        </w:rPr>
        <w:t>1. Set your API keys</w:t>
      </w:r>
    </w:p>
    <w:p>
      <w:r>
        <w:t>Open the API tab and enter your Tradier proxy URL + live-mode token, and your FMP API key. Without an FMP key, Section B rules score 0 — the rest still works.</w:t>
      </w:r>
    </w:p>
    <w:p>
      <w:r>
        <w:rPr>
          <w:b/>
          <w:color w:val="0B4A7A"/>
          <w:sz w:val="22"/>
        </w:rPr>
        <w:t>2. Pick a strategy preset</w:t>
      </w:r>
    </w:p>
    <w:p>
      <w:r>
        <w:t>Tap STRATEGY at the top of the scanner. Start with HIGH CONVICTION to see the most selective gate, or BREAKOUT / MOMENTUM if you want more candidates. CLEAR returns to the default Min Score 140 with no must-pass filters.</w:t>
      </w:r>
    </w:p>
    <w:p>
      <w:r>
        <w:rPr>
          <w:b/>
          <w:color w:val="0B4A7A"/>
          <w:sz w:val="22"/>
        </w:rPr>
        <w:t>3. Run the scan</w:t>
      </w:r>
    </w:p>
    <w:p>
      <w:r>
        <w:t>Tap ↻ SCAN. The bulk pass scores all ~2,500 tickers in 30–60s. The foreground enrichment pass adds Tradier history + FMP data to the top 60. A background pass extends Tradier history to ranks 61–200 over the next ~5 minutes; you'll see scores update live.</w:t>
      </w:r>
    </w:p>
    <w:p>
      <w:r>
        <w:rPr>
          <w:b/>
          <w:color w:val="0B4A7A"/>
          <w:sz w:val="22"/>
        </w:rPr>
        <w:t>4. Read the results table</w:t>
      </w:r>
    </w:p>
    <w:p>
      <w:r>
        <w:t>Sortable columns: Score, Tech, Fund, Price, Change %, Theme, Sector, GEX flow, etc. Click any row to open the detail pane with the full rule-by-rule breakdown — every passing rule with its point value, every failing rule with what it would have scored.</w:t>
      </w:r>
    </w:p>
    <w:p>
      <w:r>
        <w:rPr>
          <w:b/>
          <w:color w:val="0B4A7A"/>
          <w:sz w:val="22"/>
        </w:rPr>
        <w:t>5. Use Export Matrix or Export GOs</w:t>
      </w:r>
    </w:p>
    <w:p>
      <w:r>
        <w:t>EXPORT GOs copies a comma-separated list of every ticker that's GO under the current filter. EXPORT MATRIX in the Portfolio tab pulls all positions into a Google Sheet for sharing.</w:t>
      </w:r>
    </w:p>
    <w:p>
      <w:r>
        <w:rPr>
          <w:b/>
          <w:color w:val="0B4A7A"/>
          <w:sz w:val="22"/>
        </w:rPr>
        <w:t>6. Tune Min Score if needed</w:t>
      </w:r>
    </w:p>
    <w:p>
      <w:r>
        <w:t>If a preset returns 0 matches in a quiet market, drop Min Score by 10–20 to widen the GO band. If it returns 50+ in a hot market, raise it to tighten. The score distribution shifts with regime.</w:t>
      </w:r>
    </w:p>
    <w:p>
      <w:r>
        <w:br w:type="page"/>
      </w:r>
    </w:p>
    <w:p>
      <w:r>
        <w:rPr>
          <w:b/>
          <w:color w:val="0B4A7A"/>
          <w:sz w:val="30"/>
        </w:rPr>
        <w:t>Appendix —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DBE7F3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776"/>
            <w:shd w:val="clear" w:color="auto" w:fill="DBE7F3"/>
          </w:tcPr>
          <w:p>
            <w:r/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GO / NO-GO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Binary classification output by scoreIt. GO = score ≥ Min Score AND not AVOID-listed.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Min 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User-tunable input on the scanner tab (default 140). Strategy presets override with their own per-strategy minimum.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Must-Pass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Filter applied AFTER scoring. A ticker that scores 200 but fails a must-pass filter is excluded from the preset's GO list.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techScore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Sum of all Section A + D + E rule weights that fired. Second tiebreaker.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fundScore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Sum of Section B + Strong Sector. Surfaces analyst + sector tailwind contribution.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GEX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Gamma exposure — dealer-hedging pressure derived from the 30-DTE options chain. Call Heavy = ≥55% of OI on calls.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JT 12-1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Jegadeesh-Titman 12-1 momentum: return from t-252 to t-21.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VCP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Volatility Contraction Pattern — Minervini's ATR-shrinkage precursor to breakout.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Donchian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Turtle Traders breakout — close above prior 20-day high on 1.5×+ volume.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BBW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Bollinger Bandwidth — compressed when in the bottom 20% of the trailing 120-day range.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PROVEN ticker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Hand-curated list with historically favorable long-call P&amp;L. +8 bonus.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AVOID ticker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Hand-curated AVOID list. -15 + forced NO-GO.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Theme overlay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Sector / theme RS from theme_scores.json (nightly cron). Drives Strong Sector ±8.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Intraday RS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Live theme RS computed from member changePct vs SPY during the day so rotation triggers same-day.</w:t>
            </w:r>
          </w:p>
        </w:tc>
      </w:tr>
    </w:tbl>
    <w:p>
      <w:r>
        <w:rPr>
          <w:i/>
          <w:color w:val="808080"/>
          <w:sz w:val="18"/>
        </w:rPr>
        <w:t>Source of truth: scoreIt() and STRATEGY_MODES in index.html. When those change, update build_scoring_report.py and rebuild.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