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Canvas: Morgan Stanley</w:t>
      </w:r>
    </w:p>
    <w:p>
      <w:r>
        <w:rPr>
          <w:b/>
        </w:rPr>
        <w:t xml:space="preserve">Company URL: </w:t>
      </w:r>
      <w:r>
        <w:t>https://www.morganstanley.com/</w:t>
      </w:r>
    </w:p>
    <w:p>
      <w:r>
        <w:rPr>
          <w:b/>
        </w:rPr>
        <w:t xml:space="preserve">Generated: </w:t>
      </w:r>
      <w:r>
        <w:t>2026-01-16 13:12:12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Business Model Canvas: Morgan Stanley (Proposed Microsoft Partnership)</w:t>
      </w:r>
    </w:p>
    <w:p>
      <w:pPr>
        <w:pStyle w:val="Heading3"/>
      </w:pPr>
      <w:r>
        <w:t>1. Customer Segments</w:t>
      </w:r>
    </w:p>
    <w:p>
      <w:pPr>
        <w:pStyle w:val="ListBullet"/>
      </w:pPr>
      <w:r>
        <w:rPr>
          <w:b/>
        </w:rPr>
        <w:t>Wealth Management Advisors (FAs):</w:t>
      </w:r>
      <w:r>
        <w:t xml:space="preserve"> Seeking tools to increase efficiency and client satisfaction.</w:t>
      </w:r>
    </w:p>
    <w:p>
      <w:pPr>
        <w:pStyle w:val="ListBullet"/>
      </w:pPr>
      <w:r>
        <w:rPr>
          <w:b/>
        </w:rPr>
        <w:t>High-Net-Worth Clients:</w:t>
      </w:r>
      <w:r>
        <w:t xml:space="preserve"> Benefitting from personalized financial advice and portfolio management.</w:t>
      </w:r>
    </w:p>
    <w:p>
      <w:pPr>
        <w:pStyle w:val="ListBullet"/>
      </w:pPr>
      <w:r>
        <w:rPr>
          <w:b/>
        </w:rPr>
        <w:t>Institutional Securities Group (ISG) Researchers:</w:t>
      </w:r>
      <w:r>
        <w:t xml:space="preserve"> Aiming to maximize the impact of their research.</w:t>
      </w:r>
    </w:p>
    <w:p>
      <w:pPr>
        <w:pStyle w:val="ListBullet"/>
      </w:pPr>
      <w:r>
        <w:rPr>
          <w:b/>
        </w:rPr>
        <w:t>Technology &amp; Operations Teams:</w:t>
      </w:r>
      <w:r>
        <w:t xml:space="preserve"> Focused on efficiency, security, and compliance.</w:t>
      </w:r>
    </w:p>
    <w:p>
      <w:pPr>
        <w:pStyle w:val="ListBullet"/>
      </w:pPr>
      <w:r>
        <w:rPr>
          <w:b/>
        </w:rPr>
        <w:t>CIO/IT Procurement:</w:t>
      </w:r>
      <w:r>
        <w:t xml:space="preserve"> Concerned with budget optimization and ROI on technology investments.</w:t>
      </w:r>
    </w:p>
    <w:p>
      <w:pPr>
        <w:pStyle w:val="Heading3"/>
      </w:pPr>
      <w:r>
        <w:t>2. Value Propositions</w:t>
      </w:r>
    </w:p>
    <w:p>
      <w:pPr>
        <w:pStyle w:val="ListBullet"/>
      </w:pPr>
      <w:r>
        <w:rPr>
          <w:b/>
        </w:rPr>
        <w:t>For Wealth Management Advisors:</w:t>
      </w:r>
      <w:r>
        <w:t>Increased efficiency through Agentic AI automating administrative tasks (e.g., CRM updates, compliance documentation).</w:t>
      </w:r>
    </w:p>
    <w:p>
      <w:pPr>
        <w:pStyle w:val="ListBullet"/>
      </w:pPr>
      <w:r>
        <w:t>Access to personalized, actionable insights from ISG research ("AskResearchGPT").</w:t>
      </w:r>
    </w:p>
    <w:p>
      <w:pPr>
        <w:pStyle w:val="ListBullet"/>
      </w:pPr>
      <w:r>
        <w:t>Improved client engagement and retention through more informed advice.</w:t>
      </w:r>
    </w:p>
    <w:p>
      <w:pPr>
        <w:pStyle w:val="ListBullet"/>
      </w:pPr>
      <w:r>
        <w:rPr>
          <w:b/>
        </w:rPr>
        <w:t>For High-Net-Worth Clients:</w:t>
      </w:r>
      <w:r>
        <w:t>More personalized and responsive financial advice.</w:t>
      </w:r>
    </w:p>
    <w:p>
      <w:pPr>
        <w:pStyle w:val="ListBullet"/>
      </w:pPr>
      <w:r>
        <w:t>Better portfolio performance through access to institutional-level research.</w:t>
      </w:r>
    </w:p>
    <w:p>
      <w:pPr>
        <w:pStyle w:val="ListBullet"/>
      </w:pPr>
      <w:r>
        <w:t>Enhanced security and data privacy.</w:t>
      </w:r>
    </w:p>
    <w:p>
      <w:pPr>
        <w:pStyle w:val="ListBullet"/>
      </w:pPr>
      <w:r>
        <w:rPr>
          <w:b/>
        </w:rPr>
        <w:t>For Institutional Securities Group Researchers:</w:t>
      </w:r>
      <w:r>
        <w:t>Broader dissemination and impact of their research.</w:t>
      </w:r>
    </w:p>
    <w:p>
      <w:pPr>
        <w:pStyle w:val="ListBullet"/>
      </w:pPr>
      <w:r>
        <w:t>Increased visibility within the firm.</w:t>
      </w:r>
    </w:p>
    <w:p>
      <w:pPr>
        <w:pStyle w:val="ListBullet"/>
      </w:pPr>
      <w:r>
        <w:t>Potential for enhanced collaboration with Wealth Management.</w:t>
      </w:r>
    </w:p>
    <w:p>
      <w:pPr>
        <w:pStyle w:val="ListBullet"/>
      </w:pPr>
      <w:r>
        <w:rPr>
          <w:b/>
        </w:rPr>
        <w:t>For Technology &amp; Operations Teams:</w:t>
      </w:r>
      <w:r>
        <w:t>Modernized infrastructure leveraging Azure Data &amp; AI solutions.</w:t>
      </w:r>
    </w:p>
    <w:p>
      <w:pPr>
        <w:pStyle w:val="ListBullet"/>
      </w:pPr>
      <w:r>
        <w:t>Improved data governance and security.</w:t>
      </w:r>
    </w:p>
    <w:p>
      <w:pPr>
        <w:pStyle w:val="ListBullet"/>
      </w:pPr>
      <w:r>
        <w:t>Reduced technical debt by retiring legacy systems.</w:t>
      </w:r>
    </w:p>
    <w:p>
      <w:pPr>
        <w:pStyle w:val="ListBullet"/>
      </w:pPr>
      <w:r>
        <w:rPr>
          <w:b/>
        </w:rPr>
        <w:t>For CIO/IT Procurement:</w:t>
      </w:r>
      <w:r>
        <w:t>Cost-effective AI solutions with demonstrable ROI.</w:t>
      </w:r>
    </w:p>
    <w:p>
      <w:pPr>
        <w:pStyle w:val="ListBullet"/>
      </w:pPr>
      <w:r>
        <w:t>Efficient resource allocation leveraging Azure-native capabilities.</w:t>
      </w:r>
    </w:p>
    <w:p>
      <w:pPr>
        <w:pStyle w:val="ListBullet"/>
      </w:pPr>
      <w:r>
        <w:t>Compliance with regulatory requirements.</w:t>
      </w:r>
    </w:p>
    <w:p>
      <w:pPr>
        <w:pStyle w:val="Heading3"/>
      </w:pPr>
      <w:r>
        <w:t>3. Channels</w:t>
      </w:r>
    </w:p>
    <w:p>
      <w:pPr>
        <w:pStyle w:val="ListBullet"/>
      </w:pPr>
      <w:r>
        <w:rPr>
          <w:b/>
        </w:rPr>
        <w:t>Direct Sales Teams (Microsoft):</w:t>
      </w:r>
      <w:r>
        <w:t xml:space="preserve"> Engaging with C-Suite and key stakeholders.</w:t>
      </w:r>
    </w:p>
    <w:p>
      <w:pPr>
        <w:pStyle w:val="ListBullet"/>
      </w:pPr>
      <w:r>
        <w:rPr>
          <w:b/>
        </w:rPr>
        <w:t>Partnership with OpenAI:</w:t>
      </w:r>
      <w:r>
        <w:t xml:space="preserve"> Leveraging the existing relationship to expand AI capabilities.</w:t>
      </w:r>
    </w:p>
    <w:p>
      <w:pPr>
        <w:pStyle w:val="ListBullet"/>
      </w:pPr>
      <w:r>
        <w:rPr>
          <w:b/>
        </w:rPr>
        <w:t>Microsoft Azure Marketplace:</w:t>
      </w:r>
      <w:r>
        <w:t xml:space="preserve"> Potential platform for solution deployment.</w:t>
      </w:r>
    </w:p>
    <w:p>
      <w:pPr>
        <w:pStyle w:val="ListBullet"/>
      </w:pPr>
      <w:r>
        <w:rPr>
          <w:b/>
        </w:rPr>
        <w:t>Industry Events and Conferences:</w:t>
      </w:r>
      <w:r>
        <w:t xml:space="preserve"> Showcasing the benefits of the partnership.</w:t>
      </w:r>
    </w:p>
    <w:p>
      <w:pPr>
        <w:pStyle w:val="Heading3"/>
      </w:pPr>
      <w:r>
        <w:t>4. Customer Relationships</w:t>
      </w:r>
    </w:p>
    <w:p>
      <w:pPr>
        <w:pStyle w:val="ListBullet"/>
      </w:pPr>
      <w:r>
        <w:rPr>
          <w:b/>
        </w:rPr>
        <w:t>Dedicated Account Management:</w:t>
      </w:r>
      <w:r>
        <w:t xml:space="preserve"> Providing ongoing support and strategic guidance.</w:t>
      </w:r>
    </w:p>
    <w:p>
      <w:pPr>
        <w:pStyle w:val="ListBullet"/>
      </w:pPr>
      <w:r>
        <w:rPr>
          <w:b/>
        </w:rPr>
        <w:t>Technical Support:</w:t>
      </w:r>
      <w:r>
        <w:t xml:space="preserve"> Ensuring smooth integration and operation of the solutions.</w:t>
      </w:r>
    </w:p>
    <w:p>
      <w:pPr>
        <w:pStyle w:val="ListBullet"/>
      </w:pPr>
      <w:r>
        <w:rPr>
          <w:b/>
        </w:rPr>
        <w:t>Training and Enablement:</w:t>
      </w:r>
      <w:r>
        <w:t xml:space="preserve"> Empowering Morgan Stanley employees to effectively utilize the AI tools.</w:t>
      </w:r>
    </w:p>
    <w:p>
      <w:pPr>
        <w:pStyle w:val="ListBullet"/>
      </w:pPr>
      <w:r>
        <w:rPr>
          <w:b/>
        </w:rPr>
        <w:t>Collaborative Innovation:</w:t>
      </w:r>
      <w:r>
        <w:t xml:space="preserve"> Working with Morgan Stanley to develop new AI applications.</w:t>
      </w:r>
    </w:p>
    <w:p>
      <w:pPr>
        <w:pStyle w:val="Heading3"/>
      </w:pPr>
      <w:r>
        <w:t>5. Revenue Streams</w:t>
      </w:r>
    </w:p>
    <w:p>
      <w:pPr>
        <w:pStyle w:val="ListBullet"/>
      </w:pPr>
      <w:r>
        <w:rPr>
          <w:b/>
        </w:rPr>
        <w:t>Azure Consumption:</w:t>
      </w:r>
      <w:r>
        <w:t xml:space="preserve"> Revenue generated from the use of Azure Data &amp; AI services.</w:t>
      </w:r>
    </w:p>
    <w:p>
      <w:pPr>
        <w:pStyle w:val="ListBullet"/>
      </w:pPr>
      <w:r>
        <w:rPr>
          <w:b/>
        </w:rPr>
        <w:t>Implementation Services:</w:t>
      </w:r>
      <w:r>
        <w:t xml:space="preserve"> Fees for designing, developing, and deploying the AI solutions.</w:t>
      </w:r>
    </w:p>
    <w:p>
      <w:pPr>
        <w:pStyle w:val="ListBullet"/>
      </w:pPr>
      <w:r>
        <w:rPr>
          <w:b/>
        </w:rPr>
        <w:t>Software Licenses:</w:t>
      </w:r>
      <w:r>
        <w:t xml:space="preserve"> Subscription fees for Microsoft AI and data analytics software.</w:t>
      </w:r>
    </w:p>
    <w:p>
      <w:pPr>
        <w:pStyle w:val="ListBullet"/>
      </w:pPr>
      <w:r>
        <w:rPr>
          <w:b/>
        </w:rPr>
        <w:t>Support and Maintenance:</w:t>
      </w:r>
      <w:r>
        <w:t xml:space="preserve"> Recurring revenue for providing ongoing support and updates.</w:t>
      </w:r>
    </w:p>
    <w:p>
      <w:pPr>
        <w:pStyle w:val="Heading3"/>
      </w:pPr>
      <w:r>
        <w:t>6. Key Resources</w:t>
      </w:r>
    </w:p>
    <w:p>
      <w:pPr>
        <w:pStyle w:val="ListBullet"/>
      </w:pPr>
      <w:r>
        <w:rPr>
          <w:b/>
        </w:rPr>
        <w:t>Microsoft Azure Platform:</w:t>
      </w:r>
      <w:r>
        <w:t xml:space="preserve"> Cloud infrastructure and AI services.</w:t>
      </w:r>
    </w:p>
    <w:p>
      <w:pPr>
        <w:pStyle w:val="ListBullet"/>
      </w:pPr>
      <w:r>
        <w:rPr>
          <w:b/>
        </w:rPr>
        <w:t>OpenAI Models (GPT-4):</w:t>
      </w:r>
      <w:r>
        <w:t xml:space="preserve"> Foundation for AI-powered applications.</w:t>
      </w:r>
    </w:p>
    <w:p>
      <w:pPr>
        <w:pStyle w:val="ListBullet"/>
      </w:pPr>
      <w:r>
        <w:rPr>
          <w:b/>
        </w:rPr>
        <w:t>Microsoft Data &amp; AI Expertise:</w:t>
      </w:r>
      <w:r>
        <w:t xml:space="preserve"> Technical skills and knowledge.</w:t>
      </w:r>
    </w:p>
    <w:p>
      <w:pPr>
        <w:pStyle w:val="ListBullet"/>
      </w:pPr>
      <w:r>
        <w:rPr>
          <w:b/>
        </w:rPr>
        <w:t>Sales and Marketing Teams:</w:t>
      </w:r>
      <w:r>
        <w:t xml:space="preserve"> Driving adoption and expansion.</w:t>
      </w:r>
    </w:p>
    <w:p>
      <w:pPr>
        <w:pStyle w:val="ListBullet"/>
      </w:pPr>
      <w:r>
        <w:rPr>
          <w:b/>
        </w:rPr>
        <w:t>Strategic Partnership with OpenAI:</w:t>
      </w:r>
      <w:r>
        <w:t xml:space="preserve"> Access to cutting-edge AI research and development.</w:t>
      </w:r>
    </w:p>
    <w:p>
      <w:pPr>
        <w:pStyle w:val="Heading3"/>
      </w:pPr>
      <w:r>
        <w:t>7. Key Activities</w:t>
      </w:r>
    </w:p>
    <w:p>
      <w:pPr>
        <w:pStyle w:val="ListBullet"/>
      </w:pPr>
      <w:r>
        <w:rPr>
          <w:b/>
        </w:rPr>
        <w:t>Developing AI Solutions:</w:t>
      </w:r>
      <w:r>
        <w:t xml:space="preserve"> Building Agentic AI workflows, "AskResearchGPT," and "Cognitive Surveillance" tools.</w:t>
      </w:r>
    </w:p>
    <w:p>
      <w:pPr>
        <w:pStyle w:val="ListBullet"/>
      </w:pPr>
      <w:r>
        <w:rPr>
          <w:b/>
        </w:rPr>
        <w:t>Integrating with Existing Systems:</w:t>
      </w:r>
      <w:r>
        <w:t xml:space="preserve"> Connecting with Salesforce, Lucidworks Fusion, and other Morgan Stanley platforms.</w:t>
      </w:r>
    </w:p>
    <w:p>
      <w:pPr>
        <w:pStyle w:val="ListBullet"/>
      </w:pPr>
      <w:r>
        <w:rPr>
          <w:b/>
        </w:rPr>
        <w:t>Providing Consulting Services:</w:t>
      </w:r>
      <w:r>
        <w:t xml:space="preserve"> Helping Morgan Stanley define their AI strategy and roadmap.</w:t>
      </w:r>
    </w:p>
    <w:p>
      <w:pPr>
        <w:pStyle w:val="ListBullet"/>
      </w:pPr>
      <w:r>
        <w:rPr>
          <w:b/>
        </w:rPr>
        <w:t>Ensuring Data Security and Compliance:</w:t>
      </w:r>
      <w:r>
        <w:t xml:space="preserve"> Meeting regulatory requirements and protecting sensitive information.</w:t>
      </w:r>
    </w:p>
    <w:p>
      <w:pPr>
        <w:pStyle w:val="ListBullet"/>
      </w:pPr>
      <w:r>
        <w:rPr>
          <w:b/>
        </w:rPr>
        <w:t>Maintaining and Updating Solutions:</w:t>
      </w:r>
      <w:r>
        <w:t xml:space="preserve"> Providing ongoing support and incorporating new AI advancements.</w:t>
      </w:r>
    </w:p>
    <w:p>
      <w:pPr>
        <w:pStyle w:val="Heading3"/>
      </w:pPr>
      <w:r>
        <w:t>8. Key Partnerships</w:t>
      </w:r>
    </w:p>
    <w:p>
      <w:pPr>
        <w:pStyle w:val="ListBullet"/>
      </w:pPr>
      <w:r>
        <w:rPr>
          <w:b/>
        </w:rPr>
        <w:t>OpenAI:</w:t>
      </w:r>
      <w:r>
        <w:t xml:space="preserve"> Exclusive strategic partnership for AI model development and deployment.</w:t>
      </w:r>
    </w:p>
    <w:p>
      <w:pPr>
        <w:pStyle w:val="ListBullet"/>
      </w:pPr>
      <w:r>
        <w:rPr>
          <w:b/>
        </w:rPr>
        <w:t>Morgan Stanley:</w:t>
      </w:r>
      <w:r>
        <w:t xml:space="preserve"> Core customer and strategic partner.</w:t>
      </w:r>
    </w:p>
    <w:p>
      <w:pPr>
        <w:pStyle w:val="ListBullet"/>
      </w:pPr>
      <w:r>
        <w:rPr>
          <w:b/>
        </w:rPr>
        <w:t>Salesforce:</w:t>
      </w:r>
      <w:r>
        <w:t xml:space="preserve"> Integration partner for CRM workflows.</w:t>
      </w:r>
    </w:p>
    <w:p>
      <w:pPr>
        <w:pStyle w:val="ListBullet"/>
      </w:pPr>
      <w:r>
        <w:rPr>
          <w:b/>
        </w:rPr>
        <w:t>Independent Software Vendors (ISVs):</w:t>
      </w:r>
      <w:r>
        <w:t xml:space="preserve"> Potential partners for specialized AI solutions.</w:t>
      </w:r>
    </w:p>
    <w:p>
      <w:pPr>
        <w:pStyle w:val="Heading3"/>
      </w:pPr>
      <w:r>
        <w:t>9. Cost Structure</w:t>
      </w:r>
    </w:p>
    <w:p>
      <w:pPr>
        <w:pStyle w:val="ListBullet"/>
      </w:pPr>
      <w:r>
        <w:rPr>
          <w:b/>
        </w:rPr>
        <w:t>Azure Infrastructure Costs:</w:t>
      </w:r>
      <w:r>
        <w:t xml:space="preserve"> Servers, storage, and networking.</w:t>
      </w:r>
    </w:p>
    <w:p>
      <w:pPr>
        <w:pStyle w:val="ListBullet"/>
      </w:pPr>
      <w:r>
        <w:rPr>
          <w:b/>
        </w:rPr>
        <w:t>AI Model Licensing Fees:</w:t>
      </w:r>
      <w:r>
        <w:t xml:space="preserve"> Costs associated with using OpenAI models.</w:t>
      </w:r>
    </w:p>
    <w:p>
      <w:pPr>
        <w:pStyle w:val="ListBullet"/>
      </w:pPr>
      <w:r>
        <w:rPr>
          <w:b/>
        </w:rPr>
        <w:t>Software Development Costs:</w:t>
      </w:r>
      <w:r>
        <w:t xml:space="preserve"> Salaries for engineers and developers.</w:t>
      </w:r>
    </w:p>
    <w:p>
      <w:pPr>
        <w:pStyle w:val="ListBullet"/>
      </w:pPr>
      <w:r>
        <w:rPr>
          <w:b/>
        </w:rPr>
        <w:t>Sales and Marketing Expenses:</w:t>
      </w:r>
      <w:r>
        <w:t xml:space="preserve"> Marketing campaigns, sales team salaries, and travel expenses.</w:t>
      </w:r>
    </w:p>
    <w:p>
      <w:pPr>
        <w:pStyle w:val="ListBullet"/>
      </w:pPr>
      <w:r>
        <w:rPr>
          <w:b/>
        </w:rPr>
        <w:t>Support and Maintenance Costs:</w:t>
      </w:r>
      <w:r>
        <w:t xml:space="preserve"> Technical support staff and infrastructure.</w:t>
      </w:r>
    </w:p>
    <w:p>
      <w:pPr>
        <w:pStyle w:val="ListBullet"/>
      </w:pPr>
      <w:r>
        <w:rPr>
          <w:b/>
        </w:rPr>
        <w:t>Training and Enablement Costs:</w:t>
      </w:r>
      <w:r>
        <w:t xml:space="preserve"> Developing training materials and conducting workshops.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