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Host repertoire model extensions</w:t>
      </w:r>
    </w:p>
    <w:bookmarkStart w:id="20" w:name="unresolved-issues-in-the-gallwasp-system"/>
    <w:p>
      <w:pPr>
        <w:pStyle w:val="Heading3"/>
      </w:pPr>
      <w:r>
        <w:t xml:space="preserve">Unresolved issues in the gallwasp system</w:t>
      </w:r>
    </w:p>
    <w:p>
      <w:pPr>
        <w:pStyle w:val="FirstParagraph"/>
      </w:pPr>
      <w:r>
        <w:t xml:space="preserve">There would be different options for selecting a host taxonomic scale to use in an analysis of repertoire evolution plus biogeography in the gallwasp system. Following our meeting in June, I wanted to decide which scale would be best, but there are a couple of issues I haven’t yet felt able to resolve.</w:t>
      </w:r>
    </w:p>
    <w:p>
      <w:pPr>
        <w:pStyle w:val="BodyText"/>
      </w:pPr>
      <w:r>
        <w:t xml:space="preserve">The first issue is how well gallwasp host use evolution conforms to the repertoire model when hosts are considered at different taxonomic levels. Gallwasp species are almost always monophagous at the level of sections within genus</w:t>
      </w:r>
      <w:r>
        <w:t xml:space="preserve"> </w:t>
      </w:r>
      <w:r>
        <w:rPr>
          <w:i/>
          <w:iCs/>
        </w:rPr>
        <w:t xml:space="preserve">Quercus</w:t>
      </w:r>
      <w:r>
        <w:t xml:space="preserve"> </w:t>
      </w:r>
      <w:r>
        <w:t xml:space="preserve">(or for other genera within Fagaceae - these haven’t been given a section-level classification). Sections of</w:t>
      </w:r>
      <w:r>
        <w:t xml:space="preserve"> </w:t>
      </w:r>
      <w:r>
        <w:rPr>
          <w:i/>
          <w:iCs/>
        </w:rPr>
        <w:t xml:space="preserve">Quercus</w:t>
      </w:r>
      <w:r>
        <w:t xml:space="preserve"> </w:t>
      </w:r>
      <w:r>
        <w:t xml:space="preserve">are subdivided into series, and many gallwasps use multiple series as their hosts. Overall, it would therefore make more sense to consider hosts at series level. A caveat is that by implication, gains of a new host series in a different section are accompanied by loss of all the host series in the original section, a scenario which wouldn’t be considered by the original repertoire model. Maybe this difficulty wouldn’t actually be fatal, since the majority of repertoire changes would be within sections and would better conform to the original model. It would probably require separate analyses of gallwasp subclades, though, as particularly in the white oaks (section</w:t>
      </w:r>
      <w:r>
        <w:t xml:space="preserve"> </w:t>
      </w:r>
      <w:r>
        <w:rPr>
          <w:i/>
          <w:iCs/>
        </w:rPr>
        <w:t xml:space="preserve">Quercus</w:t>
      </w:r>
      <w:r>
        <w:t xml:space="preserve">) there are series that postdate the origin of Cynipini.</w:t>
      </w:r>
    </w:p>
    <w:p>
      <w:pPr>
        <w:pStyle w:val="BodyText"/>
      </w:pPr>
      <w:r>
        <w:t xml:space="preserve">The second issue is the biogeographic history of Fagaceae. Although many Fagaceae lineages (at taxonomic scales including genera and sections) are presently separated by biogeographic boundaries, fossils indicate that distributions of many of these were greater in the past, and that could have facilitated gallwasp host shifts between lineages that now are allopatric. Host lineage range reconstructions based on present distributions and extant species alone would not recover this historical trend for range contractions. The plant fossil record has an inherent trade-off between the resolution and certainty of the taxonomy - many fossils can be assigned to sections within genera but not to the series within sections. I’m leaning towards the conclusion that it would be difficult to make any strong statements about the past distribution of host series, and use them to inform an analysis.</w:t>
      </w:r>
    </w:p>
    <w:bookmarkEnd w:id="20"/>
    <w:bookmarkStart w:id="27" w:name="possible-directions"/>
    <w:p>
      <w:pPr>
        <w:pStyle w:val="Heading3"/>
      </w:pPr>
      <w:r>
        <w:t xml:space="preserve">Possible directions</w:t>
      </w:r>
    </w:p>
    <w:p>
      <w:pPr>
        <w:pStyle w:val="FirstParagraph"/>
      </w:pPr>
      <w:r>
        <w:t xml:space="preserve">I’m currently planning my work for the upcoming academic year, and am trying to align the aims for the chapter with the time available. My thesis submission date is currently September 2026 (by the time we meet I’ll hopefully have more clarity on if I can get this extended). During this time I’ve got a data chapter to do on gall morphological traits, for which I’ll hopefully have the bulk of the work done by the end of 2025. Another consideration is whether inference in TreePPL will have developed sufficiently to enable an analysis in this timeframe. Hopefully we can consider the first 2 directions below in light of these factors. The third direction is partly a contingency plan for if I end up being short on time. Also, in my PhD so far, my progress has sometimes been slowed by anxiety. Hopefully I’ll be able to manage that better in the coming year, but it would be another reason to consider (3).</w:t>
      </w:r>
    </w:p>
    <w:bookmarkStart w:id="21" w:name="using-a-different-plant-herbivore-system"/>
    <w:p>
      <w:pPr>
        <w:pStyle w:val="Heading4"/>
      </w:pPr>
      <w:r>
        <w:t xml:space="preserve">1. Using a different plant-herbivore system</w:t>
      </w:r>
    </w:p>
    <w:p>
      <w:pPr>
        <w:pStyle w:val="FirstParagraph"/>
      </w:pPr>
      <w:r>
        <w:t xml:space="preserve">If we extended the host repertoire model to incorporate biogeography, potentially it would be more satisfying to apply it to a system other than gallwasps - contingent on the following criteria being met: (1) if there were association data and both phylogenies available, (2) if the biogeohistory is known with confidence at an appropriate taxonomic scale, and (3) if host use evolutionary dynamics align with the host repertoire model (at a taxonomic scale where we can also be confident about biogeohistory!).</w:t>
      </w:r>
    </w:p>
    <w:p>
      <w:pPr>
        <w:pStyle w:val="BodyText"/>
      </w:pPr>
      <w:r>
        <w:t xml:space="preserve">A drawback of analysing a non-Fagaceae system would be that Andrew Hipp and colleagues are updating the Fagaceae time calibration and preferably this would feature in an eventual publication.</w:t>
      </w:r>
    </w:p>
    <w:bookmarkEnd w:id="21"/>
    <w:bookmarkStart w:id="22" w:name="different-model-extensions"/>
    <w:p>
      <w:pPr>
        <w:pStyle w:val="Heading4"/>
      </w:pPr>
      <w:r>
        <w:t xml:space="preserve">2. Different model extensions</w:t>
      </w:r>
    </w:p>
    <w:p>
      <w:pPr>
        <w:pStyle w:val="FirstParagraph"/>
      </w:pPr>
      <w:r>
        <w:t xml:space="preserve">An alternative would be to analyse the gallwasp data with a version of the repertoire model, but go in a different direction for the model extension. One option would be to allow the diversification of host lineages, which could be a useful extension for any system where some symbiont lineages predate some host lineages. For gallwasps, it would make it easier to analyse repertoire evolution at host series level. The issue raised above about across-section host shifts would still apply - maybe the way to address this would be to fit two empirical examples, one with gallwasp data and one from another system.</w:t>
      </w:r>
    </w:p>
    <w:p>
      <w:pPr>
        <w:pStyle w:val="BodyText"/>
      </w:pPr>
      <w:r>
        <w:t xml:space="preserve">The simplest way to account diversifying hosts could be to reconstruct associations at regular time intervals, and update the set of existing host lineages at each point in time. Presumably, though, a similar approach could be taken to update the set of host lineages at the times for each branching point in the host phylogeny.</w:t>
      </w:r>
    </w:p>
    <w:p>
      <w:pPr>
        <w:pStyle w:val="BodyText"/>
      </w:pPr>
      <w:r>
        <w:t xml:space="preserve">I think this option is my preference for an analysis of empirical data - it would be great to discuss how feasible it could be to do.</w:t>
      </w:r>
    </w:p>
    <w:bookmarkEnd w:id="22"/>
    <w:bookmarkStart w:id="26" w:name="concept-only-chapter"/>
    <w:p>
      <w:pPr>
        <w:pStyle w:val="Heading4"/>
      </w:pPr>
      <w:r>
        <w:t xml:space="preserve">3. Concept-only chapter</w:t>
      </w:r>
    </w:p>
    <w:p>
      <w:pPr>
        <w:pStyle w:val="FirstParagraph"/>
      </w:pPr>
      <w:r>
        <w:t xml:space="preserve">Given the constraints, an option for my thesis write-up would be to include a conceptual overview of model extensions, and go into the details of model designs, but not include a fitted empirical example. This would be less than ideal of course, and for it to become a published piece of work it would be good to demonstrate TreePPL’s capabilities. Maybe we can discuss what you’d think of my aiming to do a concept-only chapter - or what aims to set in order to ensure that it’s worth your time to help with it!</w:t>
      </w:r>
    </w:p>
    <w:p>
      <w:pPr>
        <w:pStyle w:val="CaptionedFigure"/>
      </w:pPr>
      <w:r>
        <w:drawing>
          <wp:inline>
            <wp:extent cx="3533775" cy="7852833"/>
            <wp:effectExtent b="0" l="0" r="0" t="0"/>
            <wp:docPr descr="Global Gallwasp - Fagaceae associations" title="" id="24" name="Picture"/>
            <a:graphic>
              <a:graphicData uri="http://schemas.openxmlformats.org/drawingml/2006/picture">
                <pic:pic>
                  <pic:nvPicPr>
                    <pic:cNvPr descr="images/heat_assocs_dendro.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3533775" cy="7852833"/>
                    </a:xfrm>
                    <a:prstGeom prst="rect">
                      <a:avLst/>
                    </a:prstGeom>
                    <a:noFill/>
                    <a:ln w="9525">
                      <a:noFill/>
                      <a:headEnd/>
                      <a:tailEnd/>
                    </a:ln>
                  </pic:spPr>
                </pic:pic>
              </a:graphicData>
            </a:graphic>
          </wp:inline>
        </w:drawing>
      </w:r>
    </w:p>
    <w:p>
      <w:pPr>
        <w:pStyle w:val="ImageCaption"/>
      </w:pPr>
      <w:r>
        <w:t xml:space="preserve">Global Gallwasp - Fagaceae associations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Host repertoire model extensions</dc:title>
  <dc:creator/>
  <cp:keywords/>
  <dcterms:created xsi:type="dcterms:W3CDTF">2025-09-05T14:04:40Z</dcterms:created>
  <dcterms:modified xsi:type="dcterms:W3CDTF">2025-09-05T14:04:40Z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