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351c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Jeunes Lobbyistes - Petit-déjeuner autour de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 Philippe Baillé, ancien chef de cellule influence et lutte informationnelle au sein du </w:t>
      </w: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Pôle Anticipation stratégique et orientation (ASO), Etat major des Armées et consultant indépendant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b w:val="1"/>
          <w:bCs w:val="1"/>
          <w:color w:val="073763"/>
          <w:sz w:val="26"/>
          <w:szCs w:val="26"/>
          <w:rtl w:val="0"/>
        </w:rPr>
        <w:t xml:space="preserve">Thème : “Désinformation : comprendre, détecter, lutter pour protéger le débat public” </w:t>
      </w:r>
    </w:p>
    <w:p w:rsidR="00000000" w:rsidDel="00000000" w:rsidP="00000000" w:rsidRDefault="00000000" w:rsidRPr="00000000" w14:paraId="00000005">
      <w:pPr>
        <w:jc w:val="center"/>
        <w:rPr>
          <w:color w:val="07376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73763"/>
          <w:sz w:val="26"/>
          <w:szCs w:val="26"/>
        </w:rPr>
      </w:pPr>
      <w:r w:rsidDel="00000000" w:rsidR="00000000" w:rsidRPr="00000000">
        <w:rPr>
          <w:color w:val="073763"/>
          <w:sz w:val="26"/>
          <w:szCs w:val="26"/>
          <w:rtl w:val="0"/>
        </w:rPr>
        <w:t xml:space="preserve">21 janvier 2026, 8h30-9h45, Solférino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Présentation de Monsieur Philippe Baillé, Colonel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Officier de 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Conseiller communication de différentes OPEX des Armées FR (Afghanistan et de l’opération Barkhane)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Puis chef de corps au sein de la Brigade des Sapeurs-Pompiers de Paris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2021,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crée la fonction de chef </w:t>
      </w:r>
      <w:r w:rsidDel="00000000" w:rsidR="00000000" w:rsidRPr="00000000">
        <w:rPr>
          <w:sz w:val="24"/>
          <w:szCs w:val="24"/>
          <w:rtl w:val="0"/>
        </w:rPr>
        <w:t xml:space="preserve">de la lutte informatique d’influence au sein du </w:t>
      </w:r>
      <w:r w:rsidDel="00000000" w:rsidR="00000000" w:rsidRPr="00000000">
        <w:rPr>
          <w:sz w:val="24"/>
          <w:szCs w:val="24"/>
          <w:rtl w:val="0"/>
        </w:rPr>
        <w:t xml:space="preserve">COMCYBER</w:t>
      </w:r>
      <w:r w:rsidDel="00000000" w:rsidR="00000000" w:rsidRPr="00000000">
        <w:rPr>
          <w:sz w:val="24"/>
          <w:szCs w:val="24"/>
          <w:rtl w:val="0"/>
        </w:rPr>
        <w:t xml:space="preserve"> (Le </w:t>
      </w:r>
      <w:r w:rsidDel="00000000" w:rsidR="00000000" w:rsidRPr="00000000">
        <w:rPr>
          <w:sz w:val="24"/>
          <w:szCs w:val="24"/>
          <w:rtl w:val="0"/>
        </w:rPr>
        <w:t xml:space="preserve">COMCYBER</w:t>
      </w:r>
      <w:r w:rsidDel="00000000" w:rsidR="00000000" w:rsidRPr="00000000">
        <w:rPr>
          <w:sz w:val="24"/>
          <w:szCs w:val="24"/>
          <w:rtl w:val="0"/>
        </w:rPr>
        <w:t xml:space="preserve"> rassemble l'ensemble des forces de cyberdéfense du ministère des Armées)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Depuis 2023, c</w:t>
      </w:r>
      <w:r w:rsidDel="00000000" w:rsidR="00000000" w:rsidRPr="00000000">
        <w:rPr>
          <w:sz w:val="24"/>
          <w:szCs w:val="24"/>
          <w:rtl w:val="0"/>
        </w:rPr>
        <w:t xml:space="preserve">hef de cellule influence et lutte informationnelle au sein du Pôle Anticipation stratégique et orientation (ASO), Etat major des Armées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ind w:left="720" w:hanging="360"/>
        <w:rPr>
          <w:rFonts w:ascii="Calibri" w:cs="Calibri" w:eastAsia="Calibri" w:hAnsi="Calibri"/>
          <w:color w:val="c8261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Depuis le 1er janvier, reconversion comme consultant dans le domaine Défense et sécurité. </w:t>
      </w:r>
    </w:p>
    <w:p w:rsidR="00000000" w:rsidDel="00000000" w:rsidP="00000000" w:rsidRDefault="00000000" w:rsidRPr="00000000" w14:paraId="0000000F">
      <w:pP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Trame des échanges (susceptible d’évolutions en fonction des questions des adhérents) :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epi66dbggoi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Comprendre la désinformation : cadre stratégique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Comment les armées françaises définissent-elles aujourd’hui la désinformation ?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Est-ce avant tout un outil, une doctrine, ou un symptôme d’une conflictualité plus large ? (exemples de la désinformation sur les théâtres d’opération en Afrique, mise en place par le groupe Wagner et les Russes)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Observe-t-on une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évolution qualitative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des campagnes de désinformation ces dernières années (ciblage, temporalité, sophistication) ?</w:t>
        <w:br w:type="textWrapping"/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ycc8p7xpjfi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Désinformation et débat public : fragilisation démocratique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Quels sont, selon vous, les principaux effets de la désinformation sur la qualité du débat public démocratique 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désinformation vise-t-elle davantage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convaincre</w:t>
      </w:r>
      <w:r w:rsidDel="00000000" w:rsidR="00000000" w:rsidRPr="00000000">
        <w:rPr>
          <w:sz w:val="24"/>
          <w:szCs w:val="24"/>
          <w:rtl w:val="0"/>
        </w:rPr>
        <w:t xml:space="preserve"> ou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désorienter et démobiliser</w:t>
      </w:r>
      <w:r w:rsidDel="00000000" w:rsidR="00000000" w:rsidRPr="00000000">
        <w:rPr>
          <w:sz w:val="24"/>
          <w:szCs w:val="24"/>
          <w:rtl w:val="0"/>
        </w:rPr>
        <w:t xml:space="preserve"> les citoyens 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Peut-on parler d’un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risque de normalisation du doute</w:t>
      </w:r>
      <w:r w:rsidDel="00000000" w:rsidR="00000000" w:rsidRPr="00000000">
        <w:rPr>
          <w:sz w:val="24"/>
          <w:szCs w:val="24"/>
          <w:rtl w:val="0"/>
        </w:rPr>
        <w:t xml:space="preserve">, où plus aucune parole institutionnelle n’est jugée crédible 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rev5t4mv1b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Municipales 2026 : scénarios et vulnérabilités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À l’approche des municipales de 2026,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quels types de narratifs ou de thématiques locales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pourraient être instrumentalisés (sécurité, urbanisme, écologie, immigration, services publics…) 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Peut-on</w:t>
      </w:r>
      <w:r w:rsidDel="00000000" w:rsidR="00000000" w:rsidRPr="00000000">
        <w:rPr>
          <w:sz w:val="24"/>
          <w:szCs w:val="24"/>
          <w:rtl w:val="0"/>
        </w:rPr>
        <w:t xml:space="preserve"> s’attendre à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campagnes de désinformation très localisées</w:t>
      </w:r>
      <w:r w:rsidDel="00000000" w:rsidR="00000000" w:rsidRPr="00000000">
        <w:rPr>
          <w:sz w:val="24"/>
          <w:szCs w:val="24"/>
          <w:rtl w:val="0"/>
        </w:rPr>
        <w:t xml:space="preserve">, ciblant une commune ou une intercommunalité précise ?</w:t>
        <w:br w:type="textWrapping"/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l8thg5t2bm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Le rôle des acteurs non institutionnels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 rôle peuvent jouer 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acteurs intermédiaires</w:t>
      </w:r>
      <w:r w:rsidDel="00000000" w:rsidR="00000000" w:rsidRPr="00000000">
        <w:rPr>
          <w:sz w:val="24"/>
          <w:szCs w:val="24"/>
          <w:rtl w:val="0"/>
        </w:rPr>
        <w:t xml:space="preserve"> (associations, think tanks, cabinets de conseil, représentants d’intérêts) dans la prévention ou la diffusion involontaire de désinformation 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Comment développer une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culture de vigilance informationnelle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dans les métiers des affaires publiques ?</w:t>
        <w:br w:type="textWrapping"/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nwdigicnbb1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Prévenir, réagir, protéger : quelles pistes 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Quels seraient, selon vous, les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bons réflexes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pour un élu local ou son entourage face à une campagne de désinformation émergente 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réponse doit-elle être avant tout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technique, juridique, communicationnelle ou pédagogique</w:t>
      </w:r>
      <w:r w:rsidDel="00000000" w:rsidR="00000000" w:rsidRPr="00000000">
        <w:rPr>
          <w:sz w:val="24"/>
          <w:szCs w:val="24"/>
          <w:rtl w:val="0"/>
        </w:rPr>
        <w:t xml:space="preserve"> ?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690688" cy="16906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0688" cy="1690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