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The remaining</w:t>
      </w:r>
    </w:p>
    <w:p>
      <w:r>
        <w:t>Green theorem is to prove that this finite potential is principal for Artin</w:t>
      </w:r>
    </w:p>
    <w:p>
      <w:r>
        <w:t>transport, equivalently that the transported defect-kernel endpoint</w:t>
      </w:r>
    </w:p>
    <w:p>
      <w:r>
        <w:t>`D_C(beta)` lies in `V_beta(Def_C)` uniformly in braid index.  A direct A</w:t>
      </w:r>
    </w:p>
    <w:p>
      <w:r>
        <w:t>route is to express the potential transport differences as Artin permutation</w:t>
      </w:r>
    </w:p>
    <w:p>
      <w:r>
        <w:t>defect values, which the Artin-defect sieve already places in the</w:t>
      </w:r>
    </w:p>
    <w:p>
      <w:r>
        <w:t>longitude-value subgroup.  A B route must now escape through a nonprincipal</w:t>
      </w:r>
    </w:p>
    <w:p>
      <w:r>
        <w:t>finite defect-potential cocycle, not through a generic bounded row mismatch.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The remaining Green target is the Artin-transport</w:t>
      </w:r>
    </w:p>
    <w:p>
      <w:r>
        <w:t>principalness of this potential, equivalently the transported endpoint</w:t>
      </w:r>
    </w:p>
    <w:p>
      <w:r>
        <w:t>`D_C(beta) in V_beta(Def_C)`, plus the lower endpoint/unit holonomy 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remaining Green target is the defect-kernel</w:t>
      </w:r>
    </w:p>
    <w:p>
      <w:r>
        <w:t>endpoint `D_C(beta) in V_beta(Def_C)`.  The further 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so the</w:t>
      </w:r>
    </w:p>
    <w:p>
      <w:r>
        <w:t>exact remaining Green check is Artin-transport principalness of that</w:t>
      </w:r>
    </w:p>
    <w:p>
      <w:r>
        <w:t>potential.  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Therefore the remaining A-side burden is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The smallest visible B-target is now a nonprincipal `Def_C`-potential</w:t>
      </w:r>
    </w:p>
    <w:p>
      <w:r>
        <w:t>transport cocycle that survives a normalized-law sequence.  Such a proof</w:t>
      </w:r>
    </w:p>
    <w:p>
      <w:r>
        <w:t>would 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