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order, and if none proves it returns the open canonical fibre-label audit with</w:t>
      </w:r>
    </w:p>
    <w:p>
      <w:r>
        <w:t>the full expected routed seed-state ledger still present.  Thus the automatic</w:t>
      </w:r>
    </w:p>
    <w:p>
      <w:r>
        <w:t>path cannot silently discard bad seed data or manufacture residual</w:t>
      </w:r>
    </w:p>
    <w:p>
      <w:r>
        <w:t>faithfulness outside the listed symbolic subcases.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 and otherwise</w:t>
      </w:r>
    </w:p>
    <w:p>
      <w:r>
        <w:t>returns the open canonical-label audit with the full expected seed ledger</w:t>
      </w:r>
    </w:p>
    <w:p>
      <w:r>
        <w:t>still present.  At the top-level audit the 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