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resulting finitely presented endpoint monodromy group `Pi_E` may be</w:t>
      </w:r>
    </w:p>
    <w:p>
      <w:r>
        <w:t>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indices in the finite declared range for the endpoint family.  For the active</w:t>
      </w:r>
    </w:p>
    <w:p>
      <w:r>
        <w:t>two local strands, the positive 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of `{0,...,m-1}`.  Faithfulness is the</w:t>
      </w:r>
    </w:p>
    <w:p>
      <w:r>
        <w:t>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endpoint state `(E,s)` with `E in {U,C,M}` and tuple-valued seed</w:t>
      </w:r>
    </w:p>
    <w:p>
      <w:r>
        <w:t>state `s`.  Malformed cutoff state keys are certificate errors, even if the</w:t>
      </w:r>
    </w:p>
    <w:p>
      <w:r>
        <w:t>malformed expected, covered, and row sets happen to agree.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 nonnegative</w:t>
      </w:r>
    </w:p>
    <w:p>
      <w:r>
        <w:t>counts, matching expected and covered family counts, and sums equal to the</w:t>
      </w:r>
    </w:p>
    <w:p>
      <w:r>
        <w:t>total expected and covered residual row counts.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Define</w:t>
      </w:r>
    </w:p>
    <w:p>
      <w:r>
        <w:t xml:space="preserve">   negative rows as actual inverses and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define negative rows as actual inverses, and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define negative rows as actual inverses, and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endpoint states; malformed keys are</w:t>
      </w:r>
    </w:p>
    <w:p>
      <w:r>
        <w:t>reported even if the malformed sets agree.  The cutoff degree itself must be</w:t>
      </w:r>
    </w:p>
    <w:p>
      <w:r>
        <w:t>a 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A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`U_{r,j}`, and that the local</w:t>
      </w:r>
    </w:p>
    <w:p>
      <w:r>
        <w:t>substitutions are the positive Artin recurrences.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