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endpoint state `(E,s)` with `E in {U,C,M}` and tuple-valued seed</w:t>
      </w:r>
    </w:p>
    <w:p>
      <w:r>
        <w:t>state `s`.  Malformed cutoff state keys are certificate errors, even if the</w:t>
      </w:r>
    </w:p>
    <w:p>
      <w:r>
        <w:t>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endpoint states; malformed keys are</w:t>
      </w:r>
    </w:p>
    <w:p>
      <w:r>
        <w:t>reported even if the malformed sets agree.  The cutoff degree itself must be</w:t>
      </w:r>
    </w:p>
    <w:p>
      <w:r>
        <w:t>a 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`U_{r,j}`, and that the local</w:t>
      </w:r>
    </w:p>
    <w:p>
      <w:r>
        <w:t>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