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budgeted size-4 run remains a truncated search, but all retained examples now satisfy the stronger Y1-plus-bijectivity law.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