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>
      <w:r>
        <w:t>For group-valued signed rows, inverse cancellation and positive YBE cocycle</w:t>
      </w:r>
    </w:p>
    <w:p>
      <w:r>
        <w:t>checks require the actual finite endpoint group multiplication table.  A</w:t>
      </w:r>
    </w:p>
    <w:p>
      <w:r>
        <w:t>signed endpoint audit with success booleans but no concrete endpoint group is</w:t>
      </w:r>
    </w:p>
    <w:p>
      <w:r>
        <w:t>not a finite row-check 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 whose track indices are declared and initialized, the</w:t>
      </w:r>
    </w:p>
    <w:p>
      <w:r>
        <w:t xml:space="preserve">  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Artin substitution and the 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