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This preserves finiteness and</w:t>
      </w:r>
    </w:p>
    <w:p>
      <w:r>
        <w:t>independence from 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symbolic theorem still must prove triviality/control in arbitrary</w:t>
      </w:r>
    </w:p>
    <w:p>
      <w:r>
        <w:t>local-minimal Green/corridor intervals or provide a real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branch.</w:t>
      </w:r>
    </w:p>
    <w:p>
      <w:r>
        <w:t>2. The descended atom quotient is the finite right-rack layer described in</w:t>
      </w:r>
    </w:p>
    <w:p>
      <w:r>
        <w:t xml:space="preserve">  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A proof of 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