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resulting finitely presented endpoint monodromy group `Pi_E` may be</w:t>
      </w:r>
    </w:p>
    <w:p>
      <w:r>
        <w:t>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disjoint context swaps within each active family;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endpoint_observer_family_certificate_input_ledger_exact,</w:t>
      </w:r>
    </w:p>
    <w:p>
      <w:r>
        <w:t>endpoint_observer_each_active_family_single_scoped_and_proved,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 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disjoint context swaps inside each active family.  Thus the</w:t>
      </w:r>
    </w:p>
    <w:p>
      <w:r>
        <w:t>endpoint-state representation is no longer implicit in later path checks; it</w:t>
      </w:r>
    </w:p>
    <w:p>
      <w:r>
        <w:t>is a finite object attached to the observer build for the exact U/C/M families</w:t>
      </w:r>
    </w:p>
    <w:p>
      <w:r>
        <w:t>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Thus a combined product endpoint</w:t>
      </w:r>
    </w:p>
    <w:p>
      <w:r>
        <w:t>row cannot hide the absence of a C or M observer behind a successful U build.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 separately from the older combined signed-generator audit.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