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state</w:t>
      </w:r>
    </w:p>
    <w:p>
      <w:r>
        <w:t>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residual input-tuple-domain</w:t>
      </w:r>
    </w:p>
    <w:p>
      <w:r>
        <w:t>coverage,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boolean, row count, or duplicate-collapsed input-domain claim is recorded only</w:t>
      </w:r>
    </w:p>
    <w:p>
      <w:r>
        <w:t>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