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reachable signed U/C/M endpoint-certificate lemma.  It is now the</w:t>
      </w:r>
    </w:p>
    <w:p>
      <w:r>
        <w:t>first 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final state and final three coordinates must agree, and the ordered</w:t>
      </w:r>
    </w:p>
    <w:p>
      <w:r>
        <w:t>products of the three `H_E` labels must agree in `H_E`.  This is a finite</w:t>
      </w:r>
    </w:p>
    <w:p>
      <w:r>
        <w:t>identity over 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exact_cutoff_readouts_for_C_and_M.</w:t>
      </w:r>
    </w:p>
    <w:p>
      <w:r>
        <w:t>```</w:t>
      </w:r>
    </w:p>
    <w:p/>
    <w:p>
      <w:r>
        <w:t>Only after those finite checks are proved may one use braid-word</w:t>
      </w:r>
    </w:p>
    <w:p>
      <w:r>
        <w:t>induction to claim that all endpoint labels for family `E` lie in</w:t>
      </w:r>
    </w:p>
    <w:p>
      <w:r>
        <w:t>`V_beta(H_E)` for every braid index.  Without them, endpoint witnesses or</w:t>
      </w:r>
    </w:p>
    <w:p>
      <w:r>
        <w:t>symmetric cutoffs are merely candidate certificate shapes, not a completed</w:t>
      </w:r>
    </w:p>
    <w:p>
      <w:r>
        <w:t>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structural opposite-sign inverse pairing, and the finite</w:t>
      </w:r>
    </w:p>
    <w:p>
      <w:r>
        <w:t>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```</w:t>
      </w:r>
    </w:p>
    <w:p/>
    <w:p>
      <w:r>
        <w:t>This audit does not by itself close U, C, or M; it records the missing finite</w:t>
      </w:r>
    </w:p>
    <w:p>
      <w:r>
        <w:t>generator-table proof needed before the endpoint witnesses or symmetric</w:t>
      </w:r>
    </w:p>
    <w:p>
      <w:r>
        <w:t>cutoffs can be 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