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finite endpoint-group order.  A</w:t>
      </w:r>
    </w:p>
    <w:p>
      <w:r>
        <w:t>word-potential observer over a different finite group may still be retained</w:t>
      </w:r>
    </w:p>
    <w:p>
      <w:r>
        <w:t>as diagnostic data, but it cannot close a U obligation routed by the current</w:t>
      </w:r>
    </w:p>
    <w:p>
      <w:r>
        <w:t>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routed families when they are</w:t>
      </w:r>
    </w:p>
    <w:p>
      <w:r>
        <w:t>supplied; C/M cutoff-readout audit rows must cover exactly the active cutoff</w:t>
      </w:r>
    </w:p>
    <w:p>
      <w:r>
        <w:t>families.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`closed_by_routed_endpoint_certificates`, one of the one-family</w:t>
      </w:r>
    </w:p>
    <w:p>
      <w:r>
        <w:t>`closed_by_*_endpoint_observer_family_build` verdicts, or the product verdict</w:t>
      </w:r>
    </w:p>
    <w:p>
      <w:r>
        <w:t>`closed_by_endpoint_observer_family_build` without its group `G(pi,Q)` is</w:t>
      </w:r>
    </w:p>
    <w:p>
      <w:r>
        <w:t>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</w:t>
      </w:r>
    </w:p>
    <w:p>
      <w:r>
        <w:t>order.  Thus a word-potential observer over some other finite group can remain</w:t>
      </w:r>
    </w:p>
    <w:p>
      <w:r>
        <w:t>diagnostic evidence, but it cannot close the System U obligation routed by</w:t>
      </w:r>
    </w:p>
    <w:p>
      <w:r>
        <w:t>the current `kappa` ledger.  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families when supplied; C/M cutoff</w:t>
      </w:r>
    </w:p>
    <w:p>
      <w:r>
        <w:t>readout audit rows must cover exactly the active 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