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corresponding residual channel</w:t>
      </w:r>
    </w:p>
    <w:p>
      <w:r>
        <w:t>reason.  These closures cover only residually trivial non-strict local</w:t>
      </w:r>
    </w:p>
    <w:p>
      <w:r>
        <w:t>motion, not arbitrary nontrivial U/C/M endpoint dynamics.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legal only when an actual</w:t>
      </w:r>
    </w:p>
    <w:p>
      <w:r>
        <w:t>restricted detector-domain assignment subset is supplied for that positive</w:t>
      </w:r>
    </w:p>
    <w:p>
      <w:r>
        <w:t>row.  In the full finite-domain case, any soundness flag or soundness witness</w:t>
      </w:r>
    </w:p>
    <w:p>
      <w:r>
        <w:t>is stale certificate data and keeps the word-potential certificate open; it</w:t>
      </w:r>
    </w:p>
    <w:p>
      <w:r>
        <w:t>cannot be interpreted as an extra proof channel.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