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state</w:t>
      </w:r>
    </w:p>
    <w:p>
      <w:r>
        <w:t>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  If two or more endpoint</w:t>
      </w:r>
    </w:p>
    <w:p>
      <w:r>
        <w:t>families are active, the certificate must also split the residual-row ledger</w:t>
      </w:r>
    </w:p>
    <w:p>
      <w:r>
        <w:t>by family: it must list expected and covered residual row counts for each</w:t>
      </w:r>
    </w:p>
    <w:p>
      <w:r>
        <w:t>active family, with no duplicate family entries, nonnegative counts, matching</w:t>
      </w:r>
    </w:p>
    <w:p>
      <w:r>
        <w:t>expected and covered family counts, and sums equal to the total expected and</w:t>
      </w:r>
    </w:p>
    <w:p>
      <w:r>
        <w:t>covered residual row counts.  An aggregate row count alone is insufficient</w:t>
      </w:r>
    </w:p>
    <w:p>
      <w:r>
        <w:t>for a product endpoint row because it can hide that one family has no</w:t>
      </w:r>
    </w:p>
    <w:p>
      <w:r>
        <w:t>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`identity_endpoint_output_tuple` must equal `input_tuple`</w:t>
      </w:r>
    </w:p>
    <w:p>
      <w:r>
        <w:t>on every row; this is the finite implication from killed endpoint data to</w:t>
      </w:r>
    </w:p>
    <w:p>
      <w:r>
        <w:t>identity residual motion.  The row dependencies may use only interval data,</w:t>
      </w:r>
    </w:p>
    <w:p>
      <w:r>
        <w:t>routed 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endpoint channels, duplicate row</w:t>
      </w:r>
    </w:p>
    <w:p>
      <w:r>
        <w:t>ledgers, or dependencies on `braid_word`, `braid_prefix`, `braid_index`,</w:t>
      </w:r>
    </w:p>
    <w:p>
      <w:r>
        <w:t>failed detector searches, normalized-law sequences, or timeouts.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