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disjoint context swaps within each active family;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families, missing</w:t>
      </w:r>
    </w:p>
    <w:p>
      <w:r>
        <w:t>active families, and extra auxiliary families must be reported separately.</w:t>
      </w:r>
    </w:p>
    <w:p>
      <w:r>
        <w:t>Selecting the first valid auxiliary row for a family is not enough: an extra,</w:t>
      </w:r>
    </w:p>
    <w:p>
      <w:r>
        <w:t>duplicate, malformed, or stale endpoint-target, cutoff-readout, or residual</w:t>
      </w:r>
    </w:p>
    <w:p>
      <w:r>
        <w:t>theorem row must keep the family-build ledger from proving exact observer</w:t>
      </w:r>
    </w:p>
    <w:p>
      <w:r>
        <w:t>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disjoint context swaps inside each active family.  Thus the</w:t>
      </w:r>
    </w:p>
    <w:p>
      <w:r>
        <w:t>endpoint-state representation is no longer implicit in later path checks; it</w:t>
      </w:r>
    </w:p>
    <w:p>
      <w:r>
        <w:t>is a finite object attached to the observer build for the exact U/C/M families</w:t>
      </w:r>
    </w:p>
    <w:p>
      <w:r>
        <w:t>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Thus a combined product endpoint</w:t>
      </w:r>
    </w:p>
    <w:p>
      <w:r>
        <w:t>row cannot hide the absence of a C or M observer behind a successful U build.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rows, unknown families, duplicate families, missing active families, and extra</w:t>
      </w:r>
    </w:p>
    <w:p>
      <w:r>
        <w:t>auxiliary families are reported separately.  The builder still lets the</w:t>
      </w:r>
    </w:p>
    <w:p>
      <w:r>
        <w:t>individual observer audit explain a genuinely absent target, cutoff, or</w:t>
      </w:r>
    </w:p>
    <w:p>
      <w:r>
        <w:t>residual proof, but it no longer allows a duplicate or stale auxiliary row to</w:t>
      </w:r>
    </w:p>
    <w:p>
      <w:r>
        <w:t>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