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 products close only</w:t>
      </w:r>
    </w:p>
    <w:p>
      <w:r>
        <w:t>with the current `U_tri` target for U, exact C cutoff/readout data, exact</w:t>
      </w:r>
    </w:p>
    <w:p>
      <w:r>
        <w:t>family coverage, and a proved product residual-faithfulness theorem.  Routed</w:t>
      </w:r>
    </w:p>
    <w:p>
      <w:r>
        <w:t>C+M products close only when both cutoff families are covered exactly and</w:t>
      </w:r>
    </w:p>
    <w:p>
      <w:r>
        <w:t>`unclosed_routed_endpoint_systems` is empty.  These are family-by-family</w:t>
      </w:r>
    </w:p>
    <w:p>
      <w:r>
        <w:t>closures; no cross-family endpoint cancellation is used.</w:t>
      </w:r>
    </w:p>
    <w:p>
      <w:r>
        <w:t>Routed U+C products are also closed at the main classifier level for the</w:t>
      </w:r>
    </w:p>
    <w:p>
      <w:r>
        <w:t>singleton-fibre, coordinate-identity, supplied fibre-label identity, and</w:t>
      </w:r>
    </w:p>
    <w:p>
      <w:r>
        <w:t>canonical fibre-label identity residual subcases.  In those non-strict</w:t>
      </w:r>
    </w:p>
    <w:p>
      <w:r>
        <w:t>closures, U still uses the current `U_tri` finite group table, C still uses</w:t>
      </w:r>
    </w:p>
    <w:p>
      <w:r>
        <w:t>exact cutoff/readout data, and the product residual theorem must expose the</w:t>
      </w:r>
    </w:p>
    <w:p>
      <w:r>
        <w:t>corresponding residual channel reason.  These closures cover only residually</w:t>
      </w:r>
    </w:p>
    <w:p>
      <w:r>
        <w:t>trivial non-strict local motion, not arbitrary nontrivial U/C endpoint</w:t>
      </w:r>
    </w:p>
    <w:p>
      <w:r>
        <w:t>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 products close only when the</w:t>
      </w:r>
    </w:p>
    <w:p>
      <w:r>
        <w:t>U observer uses the current `U_tri` table and the C observer has the exact</w:t>
      </w:r>
    </w:p>
    <w:p>
      <w:r>
        <w:t>cutoff/readout and residual theorem; routed C+M products close only when both</w:t>
      </w:r>
    </w:p>
    <w:p>
      <w:r>
        <w:t>cutoff families are covered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routed U+C products: the U observer still has to use the current `U_tri`</w:t>
      </w:r>
    </w:p>
    <w:p>
      <w:r>
        <w:t>table, C still has to carry the exact cutoff/readout ledger,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