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2026-05-31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also land in a</w:t>
      </w:r>
    </w:p>
    <w:p>
      <w:r>
        <w:t>universal continuation seed closure.  Containment in a nonuniversal</w:t>
      </w:r>
    </w:p>
    <w:p>
      <w:r>
        <w:t>continuation seed closure is not enough to create a System C endpoint</w:t>
      </w:r>
    </w:p>
    <w:p>
      <w:r>
        <w:t>obligation; the row remains active 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routed U endpoint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continuation seed closure to be universal.  A nonuniversal continuation-seed</w:t>
      </w:r>
    </w:p>
    <w:p>
      <w:r>
        <w:t>closure containing the partial edge is useful diagnostic data, but it is not</w:t>
      </w:r>
    </w:p>
    <w:p>
      <w:r>
        <w:t>enough to create the System C 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a supplied route 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reach a universal continuation seed closure; a merely nonuniversal</w:t>
      </w:r>
    </w:p>
    <w:p>
      <w:r>
        <w:t>continuation-seed containment leaves the row live in System K and does not</w:t>
      </w:r>
    </w:p>
    <w:p>
      <w:r>
        <w:t>create a System C endpoint obligation.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