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and endpoint channel.  The 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For a braid in the quotient kernel, the final quotient</w:t>
      </w:r>
    </w:p>
    <w:p>
      <w:r>
        <w:t>colours return, so the residual fibre 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channel.  The identity constructor can 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changes.  Along any braid</w:t>
      </w:r>
    </w:p>
    <w:p>
      <w:r>
        <w:t>word the fibre coordinate tuple is unchanged; for a braid in the quotient</w:t>
      </w:r>
    </w:p>
    <w:p>
      <w:r>
        <w:t>kernel the final quotient colours return, so the residual fibre action is</w:t>
      </w:r>
    </w:p>
    <w:p>
      <w:r>
        <w:t>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