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For the active two local strands,</w:t>
      </w:r>
    </w:p>
    <w:p>
      <w:r>
        <w:t>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state</w:t>
      </w:r>
    </w:p>
    <w:p>
      <w:r>
        <w:t>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  If two or more endpoint</w:t>
      </w:r>
    </w:p>
    <w:p>
      <w:r>
        <w:t>families are active, the certificate must also split the residual-row ledger</w:t>
      </w:r>
    </w:p>
    <w:p>
      <w:r>
        <w:t>by family: it must list expected and covered residual row counts for each</w:t>
      </w:r>
    </w:p>
    <w:p>
      <w:r>
        <w:t>active family, with no duplicate family entries, nonnegative counts, matching</w:t>
      </w:r>
    </w:p>
    <w:p>
      <w:r>
        <w:t>expected and covered family counts, and sums equal to the total expected and</w:t>
      </w:r>
    </w:p>
    <w:p>
      <w:r>
        <w:t>covered residual row counts.  An aggregate row count alone is insufficient</w:t>
      </w:r>
    </w:p>
    <w:p>
      <w:r>
        <w:t>for a product endpoint row because it can hide that one family has no</w:t>
      </w:r>
    </w:p>
    <w:p>
      <w:r>
        <w:t>residual readout.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In the multi-family case, it must also</w:t>
      </w:r>
    </w:p>
    <w:p>
      <w:r>
        <w:t>include the same expected and 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residual_action_input_tuple_domain_exact,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variables, the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normalization, and exact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audit must verify the induced Artin substitution and the</w:t>
      </w:r>
    </w:p>
    <w:p>
      <w:r>
        <w:t>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This keeps a complete-looking residual action proof from hiding that one</w:t>
      </w:r>
    </w:p>
    <w:p>
      <w:r>
        <w:t>active U/C/M family has no residual readout rows.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residual input-tuple-domain</w:t>
      </w:r>
    </w:p>
    <w:p>
      <w:r>
        <w:t>coverage, exact endpoint-channel coverage, the</w:t>
      </w:r>
    </w:p>
    <w:p>
      <w:r>
        <w:t>identity-endpoint-to-identity-residual implication, braid-index independence,</w:t>
      </w:r>
    </w:p>
    <w:p>
      <w:r>
        <w:t>and product-family separation.  The same family-by-family residual row-count</w:t>
      </w:r>
    </w:p>
    <w:p>
      <w:r>
        <w:t>ledger is required for symbolic multi-family residual theorems.  A bare</w:t>
      </w:r>
    </w:p>
    <w:p>
      <w:r>
        <w:t>boolean, row count, or duplicate-collapsed input-domain claim is recorded only</w:t>
      </w:r>
    </w:p>
    <w:p>
      <w:r>
        <w:t>as supplied 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