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derived constructor must not assign a placeholder endpoint label to a</w:t>
      </w:r>
    </w:p>
    <w:p>
      <w:r>
        <w:t>nonconstant defect; if the defect takes two values on the sound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They may</w:t>
      </w:r>
    </w:p>
    <w:p>
      <w:r>
        <w:t>not be silently ignored while the constructor falls back to a default</w:t>
      </w:r>
    </w:p>
    <w:p>
      <w:r>
        <w:t>symmetric 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malformed,</w:t>
      </w:r>
    </w:p>
    <w:p>
      <w:r>
        <w:t>wrong-family, or unhashable seed-state entries must remain in the expected</w:t>
      </w:r>
    </w:p>
    <w:p>
      <w:r>
        <w:t>and covered theorem ledgers and must make the theorem fail.  No automatic</w:t>
      </w:r>
    </w:p>
    <w:p>
      <w:r>
        <w:t>helper may silently discard bad seed data and prove residual faithfulness for</w:t>
      </w:r>
    </w:p>
    <w:p>
      <w:r>
        <w:t>a smaller endpoint 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The 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 are finite certificate failures, not runtime</w:t>
      </w:r>
    </w:p>
    <w:p>
      <w:r>
        <w:t>exceptions and not rows that can 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a genuinely constant defect or a sound restricted</w:t>
      </w:r>
    </w:p>
    <w:p>
      <w:r>
        <w:t>domain is supplied.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legal only when an actual</w:t>
      </w:r>
    </w:p>
    <w:p>
      <w:r>
        <w:t>restricted detector-domain assignment subset is supplied for that positive</w:t>
      </w:r>
    </w:p>
    <w:p>
      <w:r>
        <w:t>row.  In the full finite-domain case, any soundness flag or soundness witness</w:t>
      </w:r>
    </w:p>
    <w:p>
      <w:r>
        <w:t>is stale certificate data and keeps the word-potential certificate open; it</w:t>
      </w:r>
    </w:p>
    <w:p>
      <w:r>
        <w:t>cannot be interpreted as an extra proof channel.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or malformed rows keep the identity observer ledger open rather than being</w:t>
      </w:r>
    </w:p>
    <w:p>
      <w:r>
        <w:t>silently replaced by the default symmetric 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malformed, wrong-family, or</w:t>
      </w:r>
    </w:p>
    <w:p>
      <w:r>
        <w:t>unhashable seed-state entries remain in the expected and covered theorem</w:t>
      </w:r>
    </w:p>
    <w:p>
      <w:r>
        <w:t>ledgers and therefore keep the residual theorem open.  An automatic helper</w:t>
      </w:r>
    </w:p>
    <w:p>
      <w:r>
        <w:t>cannot silently drop bad seed data and prove residual faithfulness for a</w:t>
      </w:r>
    </w:p>
    <w:p>
      <w:r>
        <w:t>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