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reachable signed U/C/M endpoint-certificate lemma.  It is now the</w:t>
      </w:r>
    </w:p>
    <w:p>
      <w:r>
        <w:t>first 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reachable from S_E^0 by the signed tables,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exact_cutoff_readouts_for_C_and_M.</w:t>
      </w:r>
    </w:p>
    <w:p>
      <w:r>
        <w:t>```</w:t>
      </w:r>
    </w:p>
    <w:p/>
    <w:p>
      <w:r>
        <w:t>Only after those finite checks are proved may one use braid-word</w:t>
      </w:r>
    </w:p>
    <w:p>
      <w:r>
        <w:t>induction to claim that all endpoint labels for family `E` lie in</w:t>
      </w:r>
    </w:p>
    <w:p>
      <w:r>
        <w:t>`V_beta(H_E)` for every braid index.  Without them, endpoint witnesses or</w:t>
      </w:r>
    </w:p>
    <w:p>
      <w:r>
        <w:t>symmetric cutoffs are merely candidate certificate shapes, not a completed</w:t>
      </w:r>
    </w:p>
    <w:p>
      <w:r>
        <w:t>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finite reachable supersets `S_U^reach`, `S_C^reach`, and `S_M^reach`</w:t>
      </w:r>
    </w:p>
    <w:p>
      <w:r>
        <w:t xml:space="preserve">   constructed from them?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required full entry domain derived from the interval fibres, missing or extra</w:t>
      </w:r>
    </w:p>
    <w:p>
      <w:r>
        <w:t>table entries, duplicate 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```</w:t>
      </w:r>
    </w:p>
    <w:p/>
    <w:p>
      <w:r>
        <w:t>This audit does not by itself close U, C, or M; it records the missing finite</w:t>
      </w:r>
    </w:p>
    <w:p>
      <w:r>
        <w:t>generator-table proof needed before the endpoint witnesses or symmetric</w:t>
      </w:r>
    </w:p>
    <w:p>
      <w:r>
        <w:t>cutoffs can be promoted to an all-strand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signed_endpoint_generator_inverse_pairing_verified</w:t>
      </w:r>
    </w:p>
    <w:p>
      <w:r>
        <w:t>signed_endpoint_generator_inverse_cancellation_verified</w:t>
      </w:r>
    </w:p>
    <w:p>
      <w:r>
        <w:t>signed_endpoint_generator_positive_ybe_path_verified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