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Candidate positive closure</w:t>
      </w:r>
    </w:p>
    <w:p/>
    <w:p>
      <w:r>
        <w:t>The Master Local-Minimal Residual Theorem is now assembled in</w:t>
      </w:r>
    </w:p>
    <w:p>
      <w:r>
        <w:t>`proofs/master_local_residual_positive_closure.md`.  The theorem constructs a</w:t>
      </w:r>
    </w:p>
    <w:p>
      <w:r>
        <w:t>finite interval-level product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parameter, and proves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proof then applies the sharp obstruction theorem to obtain the local rack</w:t>
      </w:r>
    </w:p>
    <w:p>
      <w:r>
        <w:t>`Q x A_H`, and congruence-chain induction assembles the global finite rack.</w:t>
      </w:r>
    </w:p>
    <w:p>
      <w:r>
        <w:t>This is the candidate positive resolution.  Before marking outcome A final,</w:t>
      </w:r>
    </w:p>
    <w:p>
      <w:r>
        <w:t>the required final proof-critic audit must check that no finite-search-only</w:t>
      </w:r>
    </w:p>
    <w:p>
      <w:r>
        <w:t>step entered, semisplit local-minimality is fully handled, `H(pi,Q)` is</w:t>
      </w:r>
    </w:p>
    <w:p>
      <w:r>
        <w:t>independent of `n`, and the congruence-chain induction is valid.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/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