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positive 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endpoint state `(E,s)` with `E in {U,C,M}` and tuple-valued seed</w:t>
      </w:r>
    </w:p>
    <w:p>
      <w:r>
        <w:t>state `s`.  Malformed cutoff state keys are certificate errors, even if the</w:t>
      </w:r>
    </w:p>
    <w:p>
      <w:r>
        <w:t>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Define</w:t>
      </w:r>
    </w:p>
    <w:p>
      <w:r>
        <w:t xml:space="preserve">   negative rows as actual inverses and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define negative rows as actual inverses,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endpoint states; malformed keys are</w:t>
      </w:r>
    </w:p>
    <w:p>
      <w:r>
        <w:t>reported even if the malformed sets agree.  Cutoff braid-index independence</w:t>
      </w:r>
    </w:p>
    <w:p>
      <w:r>
        <w:t>is 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`U_{r,j}`, and that the local</w:t>
      </w:r>
    </w:p>
    <w:p>
      <w:r>
        <w:t>substitutions are the positive Artin recurrences.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