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 when they are supplied; C/M cutoff-readout audit rows must cover</w:t>
      </w:r>
    </w:p>
    <w:p>
      <w:r>
        <w:t>exactly the active cutoff families.  Malformed rows, unknown families,</w:t>
      </w:r>
    </w:p>
    <w:p>
      <w:r>
        <w:t>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</w:t>
      </w:r>
    </w:p>
    <w:p>
      <w:r>
        <w:t>when supplied; C/M cutoff readout audit rows must cover exactly the active</w:t>
      </w:r>
    </w:p>
    <w:p>
      <w:r>
        <w:t>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 exactness or identity residual motion are</w:t>
      </w:r>
    </w:p>
    <w:p>
      <w:r>
        <w:t>recorded only as supplied data; they are not accepted as proof.  The</w:t>
      </w:r>
    </w:p>
    <w:p>
      <w:r>
        <w:t>braid-index-independence and product-separation flags are required finite</w:t>
      </w:r>
    </w:p>
    <w:p>
      <w:r>
        <w:t>assertions, but they still prove nothing unless the row/domain ledgers above</w:t>
      </w:r>
    </w:p>
    <w:p>
      <w:r>
        <w:t>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missing/extra</w:t>
      </w:r>
    </w:p>
    <w:p>
      <w:r>
        <w:t>edge ledgers.  This does not empty 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 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missing/extra</w:t>
      </w:r>
    </w:p>
    <w:p>
      <w:r>
        <w:t>context-key ledgers.  It does not close System M 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it is retained as 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missing/extra key</w:t>
      </w:r>
    </w:p>
    <w:p>
      <w:r>
        <w:t>ledgers.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