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The singleton helper is</w:t>
      </w:r>
    </w:p>
    <w:p>
      <w:r>
        <w:t>valid only for a complete type-correct local interval table: the quotient row</w:t>
      </w:r>
    </w:p>
    <w:p>
      <w:r>
        <w:t>table must be a bijection on colour pairs, every local `T_{a,b}` row must be</w:t>
      </w:r>
    </w:p>
    <w:p>
      <w:r>
        <w:t>present, and every local output must lie in the fibres prescribed by</w:t>
      </w:r>
    </w:p>
    <w:p>
      <w:r>
        <w:t>`R_C(a,b)`.  Singleton fibre sizes in a malformed raw table are not a</w:t>
      </w:r>
    </w:p>
    <w:p>
      <w:r>
        <w:t>residual-faithfulness proof.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checker also requires the local interval table to be complete and</w:t>
      </w:r>
    </w:p>
    <w:p>
      <w:r>
        <w:t>type-correct: the quotient row table must be a bijection on colour pairs,</w:t>
      </w:r>
    </w:p>
    <w:p>
      <w:r>
        <w:t>every local `T_{a,b}` row must be present, and each output must land in the</w:t>
      </w:r>
    </w:p>
    <w:p>
      <w:r>
        <w:t>fibres prescribed by `R_C(a,b)`.  Singleton fibre sizes in a malformed raw</w:t>
      </w:r>
    </w:p>
    <w:p>
      <w:r>
        <w:t>table are not a residual-faithfulness proof.  The identity constructor</w:t>
      </w:r>
    </w:p>
    <w:p>
      <w:r>
        <w:t>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