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The 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The monodromy-derived family build</w:t>
      </w:r>
    </w:p>
    <w:p>
      <w:r>
        <w:t>attaches this audit and requires it to be exact, so a missing `rho_E`, `W_E`,</w:t>
      </w:r>
    </w:p>
    <w:p>
      <w:r>
        <w:t>`H_E`, or detector-domain witness is now a finite ledger failure rather than</w:t>
      </w:r>
    </w:p>
    <w:p>
      <w:r>
        <w:t>an opaque missing observer.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legal only when an actual</w:t>
      </w:r>
    </w:p>
    <w:p>
      <w:r>
        <w:t>restricted detector-domain assignment subset is supplied for that positive</w:t>
      </w:r>
    </w:p>
    <w:p>
      <w:r>
        <w:t>row.  In the full finite-domain case, any soundness flag or soundness witness</w:t>
      </w:r>
    </w:p>
    <w:p>
      <w:r>
        <w:t>is stale certificate data and keeps the word-potential certificate open; it</w:t>
      </w:r>
    </w:p>
    <w:p>
      <w:r>
        <w:t>cannot be interpreted as an extra proof channel.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