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and</w:t>
      </w:r>
    </w:p>
    <w:p>
      <w:r>
        <w:t>braid-index independence must be derived from that scope audit, not asserted</w:t>
      </w:r>
    </w:p>
    <w:p>
      <w:r>
        <w:t>as separate booleans.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and braid-index independence</w:t>
      </w:r>
    </w:p>
    <w:p>
      <w:r>
        <w:t>from this scope data, instead of accepting separate booleans.  Complete finite</w:t>
      </w:r>
    </w:p>
    <w:p>
      <w:r>
        <w:t>rows without this scope are only a 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