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If the positive identity-row table omits any reachable local context,</w:t>
      </w:r>
    </w:p>
    <w:p>
      <w:r>
        <w:t>if a next state leaves the reachable closure, if the negative table is not</w:t>
      </w:r>
    </w:p>
    <w:p>
      <w:r>
        <w:t>single-valued, if the coboundary defect is not constant on a sound detector</w:t>
      </w:r>
    </w:p>
    <w:p>
      <w:r>
        <w:t>domain, or if residual faithfulness is not supplied, the observer remains</w:t>
      </w:r>
    </w:p>
    <w:p>
      <w:r>
        <w:t>open.  No default endpoint emission is allowed.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Missing positive contexts, nonconstant coboundary defects,</w:t>
      </w:r>
    </w:p>
    <w:p>
      <w:r>
        <w:t>out-of-scope detector tracks, missing C/M readouts, or missing residual</w:t>
      </w:r>
    </w:p>
    <w:p>
      <w:r>
        <w:t>faithfulness remain visible audit failures rather than being filled by</w:t>
      </w:r>
    </w:p>
    <w:p>
      <w:r>
        <w:t>defaults.  This keeps the local certificate from being a list of unsupported</w:t>
      </w:r>
    </w:p>
    <w:p>
      <w:r>
        <w:t>boolean claims.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