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The final A-route theorem is now stated in</w:t>
      </w:r>
    </w:p>
    <w:p>
      <w:r>
        <w:t>`proofs/descent_separation_transport_rack_closure.md`: transport-rack closure</w:t>
      </w:r>
    </w:p>
    <w:p>
      <w:r>
        <w:t>is proved, but descent separation remains open.  A complete proof must show</w:t>
      </w:r>
    </w:p>
    <w:p>
      <w:r>
        <w:t>fixed Green, Schutzenberger, atom, or unit readout labels whose kernel is</w:t>
      </w:r>
    </w:p>
    <w:p>
      <w:r>
        <w:t>admissible and contains each representative seed, so that propagation leaves</w:t>
      </w:r>
    </w:p>
    <w:p>
      <w:r>
        <w:t>only strand-continuing transport-rack gauge.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The final A-route theorem is now stated in</w:t>
      </w:r>
    </w:p>
    <w:p>
      <w:r>
        <w:t>`proofs/descent_separation_transport_rack_closure.md`: transport-rack closure</w:t>
      </w:r>
    </w:p>
    <w:p>
      <w:r>
        <w:t>is already proved, but descent separation remains open.  A full proof must</w:t>
      </w:r>
    </w:p>
    <w:p>
      <w:r>
        <w:t>construct fixed Green/Schutzenberger/atom/unit readout labels whose kernel is</w:t>
      </w:r>
    </w:p>
    <w:p>
      <w:r>
        <w:t>admissible and contains each representative seed, leaving only</w:t>
      </w:r>
    </w:p>
    <w:p>
      <w:r>
        <w:t>strand-continuing transport-rack gauge after propagation.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321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Product witness calculus assembles all factor witnesses into one fixed</w:t>
      </w:r>
    </w:p>
    <w:p>
      <w:r>
        <w:t xml:space="preserve">   `H(pi,Q)`.</w:t>
      </w:r>
    </w:p>
    <w:p>
      <w:r>
        <w:t>9.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10. The sharp obstruction theorem supplies the local rack `Q x A_H`.</w:t>
      </w:r>
    </w:p>
    <w:p>
      <w:r>
        <w:t>11.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contains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readout-visible.  Equivalently, after those</w:t>
      </w:r>
    </w:p>
    <w:p>
      <w:r>
        <w:t>readouts, the remaining lower endpoint motion must be strand-continuing.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