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retained family builds: the raw endpoint group, word-potential templates,</w:t>
      </w:r>
    </w:p>
    <w:p>
      <w:r>
        <w:t>positive monodromy state rows, restricted detector-domain assignments, and</w:t>
      </w:r>
    </w:p>
    <w:p>
      <w:r>
        <w:t>detector-domain soundness witnesses must be the data that generated the</w:t>
      </w:r>
    </w:p>
    <w:p>
      <w:r>
        <w:t>retained build certificate.  An internally exact monodromy input package for a</w:t>
      </w:r>
    </w:p>
    <w:p>
      <w:r>
        <w:t>different observer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retained build internals.  The raw endpoint group must have</w:t>
      </w:r>
    </w:p>
    <w:p>
      <w:r>
        <w:t>the same finite group table as the retained certificate group, the raw</w:t>
      </w:r>
    </w:p>
    <w:p>
      <w:r>
        <w:t>templates must match the retained templates, the raw positive monodromy rows</w:t>
      </w:r>
    </w:p>
    <w:p>
      <w:r>
        <w:t>must match the retained positive state/coordinate transitions after discarding</w:t>
      </w:r>
    </w:p>
    <w:p>
      <w:r>
        <w:t>emitted labels, and any restricted detector-domain assignment or witness maps</w:t>
      </w:r>
    </w:p>
    <w:p>
      <w:r>
        <w:t>must match the retained word-potential identity-row data.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those builds.  The endpoint group row for each family must</w:t>
      </w:r>
    </w:p>
    <w:p>
      <w:r>
        <w:t>match the finite group in the retained word-potential certificate; the raw</w:t>
      </w:r>
    </w:p>
    <w:p>
      <w:r>
        <w:t>template rows must match the retained templates; the raw positive monodromy</w:t>
      </w:r>
    </w:p>
    <w:p>
      <w:r>
        <w:t>state rows must match the retained positive state/coordinate transitions after</w:t>
      </w:r>
    </w:p>
    <w:p>
      <w:r>
        <w:t>forgetting emitted endpoint labels; and any restricted detector-domain</w:t>
      </w:r>
    </w:p>
    <w:p>
      <w:r>
        <w:t>assignment or soundness-witness maps must match the corresponding identity-row</w:t>
      </w:r>
    </w:p>
    <w:p>
      <w:r>
        <w:t>data inside the retained certificate.  An internally exact raw monodromy</w:t>
      </w:r>
    </w:p>
    <w:p>
      <w:r>
        <w:t>ledger for a different observer is rejected as stale input rather than</w:t>
      </w:r>
    </w:p>
    <w:p>
      <w:r>
        <w:t>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