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representative seed visibility in an admissible fixed Green, Schutzenberger,</w:t>
      </w:r>
    </w:p>
    <w:p>
      <w:r>
        <w:t>or atom readout, so that propagation leaves only strand-continuing</w:t>
      </w:r>
    </w:p>
    <w:p>
      <w:r>
        <w:t>transport-rack gauge.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show representative seed visibility in an admissible fixed</w:t>
      </w:r>
    </w:p>
    <w:p>
      <w:r>
        <w:t>Green/Schutzenberger/atom readout, leaving only strand-continuing</w:t>
      </w:r>
    </w:p>
    <w:p>
      <w:r>
        <w:t>transport-rack gauge after propagation.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Product witness calculus assembles all factor witnesses into one fixed</w:t>
      </w:r>
    </w:p>
    <w:p>
      <w:r>
        <w:t xml:space="preserve">   `H(pi,Q)`.</w:t>
      </w:r>
    </w:p>
    <w:p>
      <w:r>
        <w:t>8.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9. The sharp obstruction theorem supplies the local rack `Q x A_H`.</w:t>
      </w:r>
    </w:p>
    <w:p>
      <w:r>
        <w:t>10.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prove that</w:t>
      </w:r>
    </w:p>
    <w:p>
      <w:r>
        <w:t>the fixed Green, Schutzenberger, or atom readout relation is admissible and</w:t>
      </w:r>
    </w:p>
    <w:p>
      <w:r>
        <w:t>contains every representative nontrivial continuation seed.  By continuation</w:t>
      </w:r>
    </w:p>
    <w:p>
      <w:r>
        <w:t>readout propagation, that would force the whole generated continuation closure</w:t>
      </w:r>
    </w:p>
    <w:p>
      <w:r>
        <w:t>to be readout-visible.  Equivalently, after those readouts, the remaining</w:t>
      </w:r>
    </w:p>
    <w:p>
      <w:r>
        <w:t>lower 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