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corresponding residual channel</w:t>
      </w:r>
    </w:p>
    <w:p>
      <w:r>
        <w:t>reason.  These closures cover only residually trivial non-strict local</w:t>
      </w:r>
    </w:p>
    <w:p>
      <w:r>
        <w:t>motion, not arbitrary nontrivial 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