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order</w:t>
      </w:r>
    </w:p>
    <w:p>
      <w:r>
        <w:t>or cutoff degree, uses a family outside `{U,C,M}`, repeats a family, assigns</w:t>
      </w:r>
    </w:p>
    <w:p>
      <w:r>
        <w:t>both a group target and cutoff target to the same family, depends on `n`, or</w:t>
      </w:r>
    </w:p>
    <w:p>
      <w:r>
        <w:t>allows cross-family 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resulting finitely presented endpoint monodromy group `Pi_E` may be</w:t>
      </w:r>
    </w:p>
    <w:p>
      <w:r>
        <w:t>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row must name an assignment rule, the finite dependencies used by that</w:t>
      </w:r>
    </w:p>
    <w:p>
      <w:r>
        <w:t>rule, and the local assignment template for the raw variables 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indices in the finite declared range for the endpoint family.  For the active</w:t>
      </w:r>
    </w:p>
    <w:p>
      <w:r>
        <w:t>two local strands, the positive 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of `{0,...,m-1}`.  Faithfulness is the</w:t>
      </w:r>
    </w:p>
    <w:p>
      <w:r>
        <w:t>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endpoint state `(E,s)` with `E in {U,C,M}` and tuple-valued seed</w:t>
      </w:r>
    </w:p>
    <w:p>
      <w:r>
        <w:t>state `s`.  Malformed cutoff state keys are certificate errors, even if the</w:t>
      </w:r>
    </w:p>
    <w:p>
      <w:r>
        <w:t>malformed expected, covered, and row sets happen to agree.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 nonnegative</w:t>
      </w:r>
    </w:p>
    <w:p>
      <w:r>
        <w:t>counts, matching expected and covered family counts, and sums equal to the</w:t>
      </w:r>
    </w:p>
    <w:p>
      <w:r>
        <w:t>total expected and covered residual row counts.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family.  A bare assertion that residual</w:t>
      </w:r>
    </w:p>
    <w:p>
      <w:r>
        <w:t>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detector_track_initialization_rows_exact,</w:t>
      </w:r>
    </w:p>
    <w:p>
      <w:r>
        <w:t>detector_track_initialization_rules_use_only_allowed_initial_data,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cutoff_readout_seed_state_ledgers_duplicate_free,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lemma, plus the unsupported-companion contradiction if that</w:t>
      </w:r>
    </w:p>
    <w:p>
      <w:r>
        <w:t>exclusion is not accepted as a standing reduction.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 without its group `G(pi,Q)` is still</w:t>
      </w:r>
    </w:p>
    <w:p>
      <w:r>
        <w:t>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Define</w:t>
      </w:r>
    </w:p>
    <w:p>
      <w:r>
        <w:t xml:space="preserve">   negative rows as actual inverses and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define negative rows as actual inverses, and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define negative rows as actual inverses, and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 and the individual U, C, and M</w:t>
      </w:r>
    </w:p>
    <w:p>
      <w:r>
        <w:t>endpoint-witness or symmetric-fork closures.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 as</w:t>
      </w:r>
    </w:p>
    <w:p>
      <w:r>
        <w:t>closed local summaries only when they carry the actual fixed detector product</w:t>
      </w:r>
    </w:p>
    <w:p>
      <w:r>
        <w:t>group; otherwise the row remains a local gap rather than being assembled into</w:t>
      </w:r>
    </w:p>
    <w:p>
      <w:r>
        <w:t>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The expected 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endpoint states; malformed keys are</w:t>
      </w:r>
    </w:p>
    <w:p>
      <w:r>
        <w:t>reported even if the malformed sets agree.  Cutoff braid-index independence</w:t>
      </w:r>
    </w:p>
    <w:p>
      <w:r>
        <w:t>is derived from the positive fixed degree and exact finite readout rows, so the</w:t>
      </w:r>
    </w:p>
    <w:p>
      <w:r>
        <w:t>legacy `braid_index_independent` flag on this audit is diagnostic only.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A</w:t>
      </w:r>
    </w:p>
    <w:p>
      <w:r>
        <w:t>row records the family, track index, assignment-rule name, the finite</w:t>
      </w:r>
    </w:p>
    <w:p>
      <w:r>
        <w:t>dependencies of the rule, and the local assignment template for the raw</w:t>
      </w:r>
    </w:p>
    <w:p>
      <w:r>
        <w:t>variables.  Allowed dependencies are interval 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`U_{r,j}`, and that the local</w:t>
      </w:r>
    </w:p>
    <w:p>
      <w:r>
        <w:t>substitutions are the positive Artin recurrences.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literal row diagnostics, and a fixed-assignment</w:t>
      </w:r>
    </w:p>
    <w:p>
      <w:r>
        <w:t>telescoping detector audit, it computes the full `D_Gamma` domain from the</w:t>
      </w:r>
    </w:p>
    <w:p>
      <w:r>
        <w:t>fibres and fills the coordinate, inverse, YBE, and fixed-track telescoping</w:t>
      </w:r>
    </w:p>
    <w:p>
      <w:r>
        <w:t>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matching</w:t>
      </w:r>
    </w:p>
    <w:p>
      <w:r>
        <w:t>counts whose sums equal the total expected and covered residual row counts.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signed_endpoint_generator_endpoint_target_cutoff_degrees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