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first case the obstruction is central monolithic depth; in the second</w:t>
      </w:r>
    </w:p>
    <w:p>
      <w:r>
        <w:t>case `H/C_H(M)` is a faithful irreducible linear action on `M`, and the moved</w:t>
      </w:r>
    </w:p>
    <w:p>
      <w:r>
        <w:t>value is generated by conjugation differences.  Thus a negative proof must now</w:t>
      </w:r>
    </w:p>
    <w:p>
      <w:r>
        <w:t>produce an unbounded central-depth tail, an unbounded irreducible linear-module</w:t>
      </w:r>
    </w:p>
    <w:p>
      <w:r>
        <w:t>tail, or the nonabelian simple-product tail.  A positive proof may close the</w:t>
      </w:r>
    </w:p>
    <w:p>
      <w:r>
        <w:t>global point-pushing route by ruling out all three for finite YBE action</w:t>
      </w:r>
    </w:p>
    <w:p>
      <w:r>
        <w:t>images.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Examples to rule out include cyclic `p`-power depth and perfect central</w:t>
      </w:r>
    </w:p>
    <w:p>
      <w:r>
        <w:t>extensions with a central monolith.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