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At the top-level audit the corresponding</w:t>
      </w:r>
    </w:p>
    <w:p>
      <w:r>
        <w:t>flag is `universal_k_identity_automatic_residual_faithfulness=True`; setting</w:t>
      </w:r>
    </w:p>
    <w:p>
      <w:r>
        <w:t>it constructs the identity endpoint observer candidate path and lets these</w:t>
      </w:r>
    </w:p>
    <w:p>
      <w:r>
        <w:t>helpers close exactly the subcases whose finite hypotheses are verified.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