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8"/>
          <w:szCs w:val="48"/>
        </w:rPr>
        <w:t xml:space="preserve">The Temporal Grammar of Nature</w:t>
      </w:r>
    </w:p>
    <w:p>
      <w:pPr>
        <w:spacing w:after="60"/>
        <w:jc w:val="center"/>
      </w:pPr>
      <w:r>
        <w:rPr>
          <w:rFonts w:ascii="Arial" w:cs="Arial" w:eastAsia="Arial" w:hAnsi="Arial"/>
          <w:i/>
          <w:iCs/>
          <w:color w:val="666666"/>
          <w:sz w:val="24"/>
          <w:szCs w:val="24"/>
        </w:rPr>
        <w:t xml:space="preserve">Phenomenological Resonance and Near-Term Applications
of Coherence–Rupture–Regeneration</w:t>
      </w:r>
    </w:p>
    <w:p>
      <w:pPr>
        <w:spacing w:after="600"/>
        <w:jc w:val="center"/>
      </w:pPr>
      <w:r>
        <w:rPr>
          <w:rFonts w:ascii="Arial" w:cs="Arial" w:eastAsia="Arial" w:hAnsi="Arial"/>
          <w:color w:val="999999"/>
          <w:sz w:val="20"/>
          <w:szCs w:val="20"/>
        </w:rPr>
        <w:t xml:space="preserve">A review prompted by Sabine (2026), CRR: A Temporal Grammar</w:t>
      </w:r>
    </w:p>
    <w:p>
      <w:pPr>
        <w:pStyle w:val="Heading1"/>
      </w:pPr>
      <w:r>
        <w:t xml:space="preserve">I. Phenomenological and Spiritual Resonance</w:t>
      </w:r>
    </w:p>
    <w:p>
      <w:pPr>
        <w:spacing w:after="200" w:line="300"/>
      </w:pPr>
      <w:r>
        <w:t xml:space="preserve">There is a particular quality to a framework that begins with mathematics and arrives at something contemplative traditions have been saying for millennia. CRR does not set out to explain sacred geometry, nor to validate any spiritual tradition. It sets out to predict the coefficient of variation of cycle times in oscillatory systems. That it ends up generating the lemniscate, the vesica piscis, the trefoil, and the golden ratio as natural consequences of its temporal logic is either a coincidence or something more interesting. The honest answer is that we do not yet know which.</w:t>
      </w:r>
    </w:p>
    <w:p>
      <w:pPr>
        <w:pStyle w:val="Heading2"/>
      </w:pPr>
      <w:r>
        <w:t xml:space="preserve">The Three-Phase Process as Lived Experience</w:t>
      </w:r>
    </w:p>
    <w:p>
      <w:pPr>
        <w:spacing w:after="200" w:line="300"/>
      </w:pPr>
      <w:r>
        <w:t xml:space="preserve">The most immediate resonance is structural. CRR describes a process in which coherence accumulates, rupture occurs at a threshold, and regeneration rebuilds from weighted memory. Set aside the equations for a moment and consider this as a description of experience. A relationship deepens over months or years, each shared event adding to an accumulated coherence. Then something breaks—an argument, a betrayal, a death. The rupture is instantaneous in the way that matters: before it, one world; after it, another. What follows is reconstruction, and the shape of that reconstruction depends on which memories are accessible. If only the highest-coherence memories survive—the peak moments, the crystallised patterns—the system reconstitutes the same form. If the memory kernel is broad, transformation is possible.</w:t>
      </w:r>
    </w:p>
    <w:p>
      <w:pPr>
        <w:spacing w:after="200" w:line="300"/>
      </w:pPr>
      <w:r>
        <w:t xml:space="preserve">This maps precisely onto what process philosophers from Whitehead onward have argued: that experience is not continuous but consists of discrete occasions of experience, each of which </w:t>
      </w:r>
      <w:r>
        <w:rPr>
          <w:i/>
          <w:iCs/>
        </w:rPr>
        <w:t xml:space="preserve">perishes</w:t>
      </w:r>
      <w:r>
        <w:t xml:space="preserve"> and is succeeded by a new occasion that inherits from its predecessors. Whitehead’s “creative advance into novelty” is CRR’s regeneration with large Ω. His “objectification of the past in the present” is the exponential weighting exp(C/Ω) in the regeneration integral. The convergence is not analogical. Both are describing temporal process, and CRR gives Whitehead’s metaphysics a quantitative backbone.</w:t>
      </w:r>
    </w:p>
    <w:p>
      <w:pPr>
        <w:pStyle w:val="Heading2"/>
      </w:pPr>
      <w:r>
        <w:t xml:space="preserve">Sacred Geometry as Phase Portrait</w:t>
      </w:r>
    </w:p>
    <w:p>
      <w:pPr>
        <w:spacing w:after="200" w:line="300"/>
      </w:pPr>
      <w:r>
        <w:t xml:space="preserve">The paper’s derivation of geometric forms deserves careful attention, because it inverts the usual relationship between mathematics and symbolism.</w:t>
      </w:r>
    </w:p>
    <w:p>
      <w:pPr>
        <w:spacing w:after="200" w:line="300"/>
      </w:pPr>
      <w:r>
        <w:t xml:space="preserve">The </w:t>
      </w:r>
      <w:r>
        <w:rPr>
          <w:b/>
          <w:bCs/>
        </w:rPr>
        <w:t xml:space="preserve">lemniscate</w:t>
      </w:r>
      <w:r>
        <w:t xml:space="preserve"> (∞) is not borrowed as a metaphor for infinity. It emerges as the literal phase portrait of a Z₂ system—two basins connected at a saddle point, the system accumulating coherence in one lobe until C = π, rupturing at the crossing, and regenerating in the other. That this shape has been used across cultures to represent eternal recurrence, the breath cycle, and the interplay of opposites is, in CRR’s reading, because those traditions were observing the same temporal process and representing what they saw.</w:t>
      </w:r>
    </w:p>
    <w:p>
      <w:pPr>
        <w:spacing w:after="200" w:line="300"/>
      </w:pPr>
      <w:r>
        <w:t xml:space="preserve">The </w:t>
      </w:r>
      <w:r>
        <w:rPr>
          <w:b/>
          <w:bCs/>
        </w:rPr>
        <w:t xml:space="preserve">vesica piscis</w:t>
      </w:r>
      <w:r>
        <w:t xml:space="preserve">—two circles overlapping at mutual centres—appears in Christian iconography, Hindu yantras, and the Pythagorean tradition. CRR generates it as the coupling geometry of two SO(2) oscillators whose rupture boundaries coincide. The overlap region is the shared memory accessible to both processes during regeneration. Its height-to-width ratio of √3 emerges from the geometry of two unit circles at minimal coupling distance. Early Christian theologians who placed the Christ figure within the vesica piscis may not have known the mathematics, but they were placing a symbol of transformative rupture within the exact geometric form that describes coupled temporal processes sharing a regeneration boundary.</w:t>
      </w:r>
    </w:p>
    <w:p>
      <w:pPr>
        <w:spacing w:after="200" w:line="300"/>
      </w:pPr>
      <w:r>
        <w:t xml:space="preserve">The </w:t>
      </w:r>
      <w:r>
        <w:rPr>
          <w:b/>
          <w:bCs/>
        </w:rPr>
        <w:t xml:space="preserve">golden ratio</w:t>
      </w:r>
      <w:r>
        <w:t xml:space="preserve"> enters CRR through icosahedral symmetry in systems with pentagonal sub-state structure, such as the KaiC circadian phosphorylation clock. The ratio φ appears when only the two most recent CRR scales are accessible during regeneration. This is a secondary derivation—it requires an additional assumption—but it connects one of the most ubiquitous ratios in nature to group theory rather than numerology. The spirals in sunflower heads and nautilus shells may be there because the regeneration process, constrained to access only its most recent coherence scales, produces pentagonal symmetry as a structural consequence.</w:t>
      </w:r>
    </w:p>
    <w:p>
      <w:pPr>
        <w:spacing w:after="200" w:line="300"/>
      </w:pPr>
      <w:r>
        <w:t xml:space="preserve">What CRR offers here is not validation of sacred geometry but </w:t>
      </w:r>
      <w:r>
        <w:rPr>
          <w:i/>
          <w:iCs/>
        </w:rPr>
        <w:t xml:space="preserve">explanation</w:t>
      </w:r>
      <w:r>
        <w:t xml:space="preserve">. These forms are there because the topology of statistical manifolds on which bounded systems accumulate evidence admits only certain geometries. The contemplative traditions noticed the forms. CRR says why they recur.</w:t>
      </w:r>
    </w:p>
    <w:p>
      <w:pPr>
        <w:pStyle w:val="Heading2"/>
      </w:pPr>
      <w:r>
        <w:t xml:space="preserve">Beauty at the Edge of Criticality</w:t>
      </w:r>
    </w:p>
    <w:p>
      <w:pPr>
        <w:spacing w:after="200" w:line="300"/>
      </w:pPr>
      <w:r>
        <w:t xml:space="preserve">The beauty function B(C/Ω) = exp(C/Ω) · (1 − C/(Ωπ)) is perhaps the most striking single equation in the framework. It peaks at C/Ω = π − 1 ≈ 2.14—the point of maximal tension between coherence accumulation and proximity to rupture. Before the peak, the system is still integrating. After the peak, correlations are already breaking. At the peak, everything makes sense together and cannot last.</w:t>
      </w:r>
    </w:p>
    <w:p>
      <w:pPr>
        <w:spacing w:after="200" w:line="300"/>
      </w:pPr>
      <w:r>
        <w:t xml:space="preserve">This is a formalisation of an experience that artists, musicians, and contemplatives have described for centuries. The moment in a symphony just before the resolution. The instant in a painting where every element is in tension. The breath held at the top of inhalation. The Japanese aesthetic of </w:t>
      </w:r>
      <w:r>
        <w:rPr>
          <w:i/>
          <w:iCs/>
        </w:rPr>
        <w:t xml:space="preserve">mono no aware</w:t>
      </w:r>
      <w:r>
        <w:t xml:space="preserve">—the pathos of things—is precisely the beauty function: a felt awareness that coherence is at its maximum and must pass. That this feeling has a location in parameter space (C/Ω ≈ 2.14) and that this location is determined by the Cramér–Rao bound is, if correct, a remarkable unification of aesthetics and information theory.</w:t>
      </w:r>
    </w:p>
    <w:p>
      <w:pPr>
        <w:spacing w:after="200" w:line="300"/>
      </w:pPr>
      <w:r>
        <w:t xml:space="preserve">There is something both clarifying and humbling about this. Beauty is not arbitrary. It is the phenomenology of near-criticality—the felt sense of a bounded system approaching the information-theoretic limit of its own coherence. This does not reduce beauty to mathematics any more than understanding optics reduces a sunset. It says that the experience of beauty is grounded in something structural about how temporal systems work, and that grounding gives the experience, if anything, more weight.</w:t>
      </w:r>
    </w:p>
    <w:p>
      <w:pPr>
        <w:pStyle w:val="Heading2"/>
      </w:pPr>
      <w:r>
        <w:t xml:space="preserve">Humour, Grief, and the Phenomenology of Ω</w:t>
      </w:r>
    </w:p>
    <w:p>
      <w:pPr>
        <w:spacing w:after="200" w:line="300"/>
      </w:pPr>
      <w:r>
        <w:t xml:space="preserve">The paper’s account of humour is clean and testable. A joke is a Z₂ rupture event. The setup builds coherence along one interpretive frame. The punchline forces reinterpretation—a rupture at C·Ω = 1. The laugh is the involuntary discharge at the moment of transition. Comedic timing matters because the beauty function must peak before the punchline lands: deliver too early and coherence is insufficient; too late and the listener has already resolved the ambiguity internally.</w:t>
      </w:r>
    </w:p>
    <w:p>
      <w:pPr>
        <w:spacing w:after="200" w:line="300"/>
      </w:pPr>
      <w:r>
        <w:t xml:space="preserve">But the deeper phenomenological insight is in the parameter Ω itself. Small Ω produces a rigid system: only the highest-coherence memories are accessible during regeneration. The system reconstitutes the same pattern. This is habit, addiction, compulsion, but also mastery, precision, reliability. Large Ω produces a flexible system: everything is accessible, transformation is possible, but so is instability and incoherence.</w:t>
      </w:r>
    </w:p>
    <w:p>
      <w:pPr>
        <w:spacing w:after="200" w:line="300"/>
      </w:pPr>
      <w:r>
        <w:t xml:space="preserve">Grief, in this reading, is the experience of a system whose Ω has been forcibly widened. The regeneration kernel that was sharply peaked around a particular person, a particular life, is suddenly asked to reconstruct from a memory space that includes their absence. Trauma is the opposite: Ω collapses. The regeneration kernel becomes so narrow that only the traumatic memory is accessible, and the system reconstitutes the same rupture pattern over and over. The therapeutic goal—in EMDR, in prolonged exposure, in psychedelic-assisted therapy—can be understood as carefully broadening Ω so that other memories become accessible during regeneration without losing coherence entirely.</w:t>
      </w:r>
    </w:p>
    <w:p>
      <w:pPr>
        <w:spacing w:after="200" w:line="300"/>
      </w:pPr>
      <w:r>
        <w:t xml:space="preserve">This is not a metaphor. If CRR is correct, it is a literal description of what is happening in the temporal dynamics of the system. The CV of a trauma-locked process should be suppressed (narrow Ω, reconstituting the same pattern). The CV of a grief-opened process should be transiently elevated (wide Ω, many reconstruction paths available). Whether therapeutic progress corresponds to a measurable change in the CV of relevant neural oscillations is a testable prediction.</w:t>
      </w:r>
    </w:p>
    <w:p>
      <w:pPr>
        <w:pStyle w:val="Heading2"/>
      </w:pPr>
      <w:r>
        <w:t xml:space="preserve">Contemplative Traditions and the Cramér–Rao Bound</w:t>
      </w:r>
    </w:p>
    <w:p>
      <w:pPr>
        <w:spacing w:after="200" w:line="300"/>
      </w:pPr>
      <w:r>
        <w:t xml:space="preserve">Buddhist teaching holds that all compounded things are impermanent (</w:t>
      </w:r>
      <w:r>
        <w:rPr>
          <w:i/>
          <w:iCs/>
        </w:rPr>
        <w:t xml:space="preserve">anicca</w:t>
      </w:r>
      <w:r>
        <w:t xml:space="preserve">), that suffering arises from attachment to what must pass (</w:t>
      </w:r>
      <w:r>
        <w:rPr>
          <w:i/>
          <w:iCs/>
        </w:rPr>
        <w:t xml:space="preserve">dukkha</w:t>
      </w:r>
      <w:r>
        <w:t xml:space="preserve">), and that there is no fixed self but rather a process of dependent origination (</w:t>
      </w:r>
      <w:r>
        <w:rPr>
          <w:i/>
          <w:iCs/>
        </w:rPr>
        <w:t xml:space="preserve">pratītyasamutpāda</w:t>
      </w:r>
      <w:r>
        <w:t xml:space="preserve">). CRR’s temporal grammar formalises this with startling precision. Every bounded system that accumulates coherence must rupture when C·Ω = 1. Attachment to a particular regeneration pattern (small Ω) reconstitutes suffering by making the same rupture inevitable. The absence of a fixed self is the absence of a time-invariant Ω—the system’s boundary permeability is itself a variable, shaped by history and context.</w:t>
      </w:r>
    </w:p>
    <w:p>
      <w:pPr>
        <w:spacing w:after="200" w:line="300"/>
      </w:pPr>
      <w:r>
        <w:t xml:space="preserve">The Christian and Sufi traditions of kenosis—self-emptying—map onto a deliberate widening of Ω at the moment of rupture, allowing regeneration to access a broader memory kernel than the self-pattern alone. The Kabbalistic concept of </w:t>
      </w:r>
      <w:r>
        <w:rPr>
          <w:i/>
          <w:iCs/>
        </w:rPr>
        <w:t xml:space="preserve">tzimtzum</w:t>
      </w:r>
      <w:r>
        <w:t xml:space="preserve">—divine contraction to make space for creation—is a reduction of Ω that allows a new coherence to accumulate in the resulting space. These are not loose analogies. They are descriptions of the same temporal process from within the system’s own experience.</w:t>
      </w:r>
    </w:p>
    <w:p>
      <w:pPr>
        <w:spacing w:after="200" w:line="300"/>
      </w:pPr>
      <w:r>
        <w:t xml:space="preserve">CRR does not validate these traditions. It has no opinion on the existence of God, the nature of enlightenment, or the metaphysics of consciousness. What it does is provide a structural account of why these traditions converge on similar descriptions of temporal process: because temporal process has a structure, and bounded systems that observe their own dynamics will observe that structure regardless of their cultural or theological context. The convergence is not because the traditions influenced each other. It is because they are all looking at the same circle.</w:t>
      </w:r>
    </w:p>
    <w:p>
      <w:pPr>
        <w:spacing w:before="300" w:after="300"/>
        <w:jc w:val="center"/>
      </w:pPr>
      <w:r>
        <w:rPr>
          <w:rFonts w:ascii="Arial" w:cs="Arial" w:eastAsia="Arial" w:hAnsi="Arial"/>
          <w:color w:val="AAAAAA"/>
          <w:sz w:val="20"/>
          <w:szCs w:val="20"/>
        </w:rPr>
        <w:t xml:space="preserve">•  •  •</w:t>
      </w:r>
    </w:p>
    <w:p>
      <w:pPr>
        <w:pStyle w:val="Heading1"/>
      </w:pPr>
      <w:r>
        <w:t xml:space="preserve">II. Applications for 2026 and Beyond</w:t>
      </w:r>
    </w:p>
    <w:p>
      <w:pPr>
        <w:spacing w:after="200" w:line="300"/>
      </w:pPr>
      <w:r>
        <w:t xml:space="preserve">If the CRR framework is even partially correct—and the 132-system empirical record, our own 12-system replication at 82%, and the zero directional reversals suggest it captures something real—then the near-term applications are substantial. What follows are the domains where CRR could have practical impact within the next one to three years, ordered roughly by readiness.</w:t>
      </w:r>
    </w:p>
    <w:p>
      <w:pPr>
        <w:pStyle w:val="Heading2"/>
      </w:pPr>
      <w:r>
        <w:t xml:space="preserve">Clinical Diagnostics: CV as Vital Sign</w:t>
      </w:r>
    </w:p>
    <w:p>
      <w:pPr>
        <w:spacing w:after="200" w:line="300"/>
      </w:pPr>
      <w:r>
        <w:t xml:space="preserve">The most immediate application is medical. CRR predicts that the coefficient of variation of any oscillatory physiological process encodes diagnostic information about the system’s boundary permeability. Specifically: CV below the predicted value signals active regulation or rigidity (Ω-collapse); CV above the predicted value signals unaccounted complexity, external noise, or loss of regulatory control.</w:t>
      </w:r>
    </w:p>
    <w:p>
      <w:pPr>
        <w:spacing w:after="200" w:line="300"/>
      </w:pPr>
      <w:r>
        <w:t xml:space="preserve">Heart rate variability (HRV) is already a clinical tool, but CRR reframes its interpretation. A healthy heart in supine rest should have CV ≈ 0.054–0.08. HRV that is </w:t>
      </w:r>
      <w:r>
        <w:rPr>
          <w:i/>
          <w:iCs/>
        </w:rPr>
        <w:t xml:space="preserve">too low</w:t>
      </w:r>
      <w:r>
        <w:t xml:space="preserve"> signals cardiac rigidity—precisely the condition associated with increased mortality risk in post-MI patients and heart failure. HRV that is </w:t>
      </w:r>
      <w:r>
        <w:rPr>
          <w:i/>
          <w:iCs/>
        </w:rPr>
        <w:t xml:space="preserve">too high</w:t>
      </w:r>
      <w:r>
        <w:t xml:space="preserve"> signals arrhythmic substrate or autonomic dysregulation. The CRR framework turns a continuous measurement into a three-class diagnostic: is the system at its intrinsic variability, below it, or above it?</w:t>
      </w:r>
    </w:p>
    <w:p>
      <w:pPr>
        <w:spacing w:after="200" w:line="300"/>
      </w:pPr>
      <w:r>
        <w:t xml:space="preserve">The same logic extends to respiratory rate variability (already monitored in ICUs but not interpreted through a CRR lens), neural oscillation variability (EEG), gastric motility, and hormonal pulsatility. In each case, the CRR prediction provides a reference value against which the observed CV can be compared without needing matched controls or normative databases. The prediction comes from the system’s symmetry class, not from population statistics.</w:t>
      </w:r>
    </w:p>
    <w:p>
      <w:pPr>
        <w:spacing w:after="200" w:line="300"/>
      </w:pPr>
      <w:r>
        <w:rPr>
          <w:b/>
          <w:bCs/>
        </w:rPr>
        <w:t xml:space="preserve">Near-term path: </w:t>
      </w:r>
      <w:r>
        <w:t xml:space="preserve">Retrospective analysis of existing HRV, EEG, and respiratory datasets to test whether the CRR three-class structure improves prognostic accuracy beyond current metrics. This requires no new data collection—only reanalysis of published datasets with CRR predictions registered in advance.</w:t>
      </w:r>
    </w:p>
    <w:p>
      <w:pPr>
        <w:pStyle w:val="Heading2"/>
      </w:pPr>
      <w:r>
        <w:t xml:space="preserve">Neuroscience: The Signal in the Noise</w:t>
      </w:r>
    </w:p>
    <w:p>
      <w:pPr>
        <w:spacing w:after="200" w:line="300"/>
      </w:pPr>
      <w:r>
        <w:t xml:space="preserve">For decades, neuroscientists have averaged away trial-to-trial variability in neural recordings, treating it as noise. CRR suggests this variability is itself the signal—it encodes the system’s boundary permeability and, through the three-class structure, reveals whether a neural process is autonomous, regulated, or noise-dominated.</w:t>
      </w:r>
    </w:p>
    <w:p>
      <w:pPr>
        <w:spacing w:after="200" w:line="300"/>
      </w:pPr>
      <w:r>
        <w:t xml:space="preserve">The companion EEG study mentioned in the paper—measuring the Z₂/SO(2) ratio directly in phase-locking value across 109 subjects as 2.06 ± 0.19—is the first direct neural test. If replicated, it would mean that the variability of neural phase-locking contains geometric information about the brain’s symmetry structure. Phase-locking that is bistable (on/off engagement) would show Z₂ variability; phase-locking that is rotational (continuous phase precession) would show SO(2) variability; and the ratio between them would be exactly 2.</w:t>
      </w:r>
    </w:p>
    <w:p>
      <w:pPr>
        <w:spacing w:after="200" w:line="300"/>
      </w:pPr>
      <w:r>
        <w:t xml:space="preserve">This has implications for brain-computer interfaces, seizure prediction (where the approach to C·Ω = 1 could serve as an early warning), anaesthesia monitoring (where Ω-collapse corresponds to loss of consciousness), and neurodegenerative disease tracking (where progressive loss of variability signals progressive Ω-collapse).</w:t>
      </w:r>
    </w:p>
    <w:p>
      <w:pPr>
        <w:spacing w:after="200" w:line="300"/>
      </w:pPr>
      <w:r>
        <w:rPr>
          <w:b/>
          <w:bCs/>
        </w:rPr>
        <w:t xml:space="preserve">Near-term path: </w:t>
      </w:r>
      <w:r>
        <w:t xml:space="preserve">Independent replication of the Z₂/SO(2) ratio in EEG data. Application of the three-class framework to existing large-scale neural recording datasets (e.g., the Allen Brain Observatory, Human Connectome Project).</w:t>
      </w:r>
    </w:p>
    <w:p>
      <w:pPr>
        <w:pStyle w:val="Heading2"/>
      </w:pPr>
      <w:r>
        <w:t xml:space="preserve">Artificial Intelligence: Catastrophic Forgetting as Ω-Collapse</w:t>
      </w:r>
    </w:p>
    <w:p>
      <w:pPr>
        <w:spacing w:after="200" w:line="300"/>
      </w:pPr>
      <w:r>
        <w:t xml:space="preserve">The connection to machine learning is direct and underappreciated. In Elastic Weight Consolidation (EWC)—the leading approach to preventing catastrophic forgetting in neural networks—the Fisher information matrix determines which weights are important and should be protected. The Fisher information matrix is 1/Ω in CRR. Catastrophic forgetting is Ω-collapse: the network’s regeneration kernel becomes so sharply peaked around recently learned patterns that previously learned patterns become inaccessible.</w:t>
      </w:r>
    </w:p>
    <w:p>
      <w:pPr>
        <w:spacing w:after="200" w:line="300"/>
      </w:pPr>
      <w:r>
        <w:t xml:space="preserve">CRR suggests a principled way to set the regularisation strength in continual learning: it should be tuned so that the effective Ω of the learning process matches the SO(2) value 1/(2π) for systems that need continuous adaptation, or the Z₂ value 1/π for systems that need to switch between discrete modes. This is not a vague analogy—it is a quantitative prediction about the optimal regularisation coefficient, derived from the geometry of the parameter manifold.</w:t>
      </w:r>
    </w:p>
    <w:p>
      <w:pPr>
        <w:spacing w:after="200" w:line="300"/>
      </w:pPr>
      <w:r>
        <w:t xml:space="preserve">More broadly, CRR offers a diagnostic for training dynamics. If the CV of loss fluctuations during training is at the predicted value, the optimiser is exploring the loss landscape at its natural rate. If suppressed, the learning rate is too low or regularisation too strong. If elevated, the system is being driven by noise rather than signal. This reframes hyperparameter tuning from an empirical search to a measurement of a single number against a geometric prediction.</w:t>
      </w:r>
    </w:p>
    <w:p>
      <w:pPr>
        <w:spacing w:after="200" w:line="300"/>
      </w:pPr>
      <w:r>
        <w:rPr>
          <w:b/>
          <w:bCs/>
        </w:rPr>
        <w:t xml:space="preserve">Near-term path: </w:t>
      </w:r>
      <w:r>
        <w:t xml:space="preserve">Measuring CV of weight updates in continual learning benchmarks and testing whether CRR-predicted regularisation strengths outperform grid search. Analysis of training loss variability across architectures to test the three-class structure.</w:t>
      </w:r>
    </w:p>
    <w:p>
      <w:pPr>
        <w:pStyle w:val="Heading2"/>
      </w:pPr>
      <w:r>
        <w:t xml:space="preserve">Climate and Earth Systems: Predicting Regime Shifts</w:t>
      </w:r>
    </w:p>
    <w:p>
      <w:pPr>
        <w:spacing w:after="200" w:line="300"/>
      </w:pPr>
      <w:r>
        <w:t xml:space="preserve">The original dataset includes several climate systems: ENSO (elevated, as expected for a stochastically forced oscillation), the Quasi-Biennial Oscillation (suppressed, as expected for a dynamically regulated system), and the solar cycle (matching the Z₂ prediction). CRR’s most practically useful climate application would be detecting the approach to regime shifts—tipping points—through the behaviour of CV near the rupture boundary.</w:t>
      </w:r>
    </w:p>
    <w:p>
      <w:pPr>
        <w:spacing w:after="200" w:line="300"/>
      </w:pPr>
      <w:r>
        <w:t xml:space="preserve">In CRR, the edge of criticality is at C* − Ω: one fluctuation before rupture. The beauty function peaks here, and the susceptibility of the system to perturbation is maximal. For climate systems, this means that the CV of a climate oscillation should increase as the system approaches a tipping point, because the effective Ω is being inflated by the proximity to transition. This is consistent with the existing early warning signals literature (rising variance, critical slowing down) but provides a specific, parameter-free prediction for how much the CV should rise and at what rate.</w:t>
      </w:r>
    </w:p>
    <w:p>
      <w:pPr>
        <w:spacing w:after="200" w:line="300"/>
      </w:pPr>
      <w:r>
        <w:rPr>
          <w:b/>
          <w:bCs/>
        </w:rPr>
        <w:t xml:space="preserve">Near-term path: </w:t>
      </w:r>
      <w:r>
        <w:t xml:space="preserve">Retrospective analysis of proxy records for Dansgaard-Oeschger events and other abrupt climate transitions to test whether CV inflation precedes each event in the predicted manner.</w:t>
      </w:r>
    </w:p>
    <w:p>
      <w:pPr>
        <w:pStyle w:val="Heading2"/>
      </w:pPr>
      <w:r>
        <w:t xml:space="preserve">Mental Health: Precision Psychiatry Through Temporal Variability</w:t>
      </w:r>
    </w:p>
    <w:p>
      <w:pPr>
        <w:spacing w:after="200" w:line="300"/>
      </w:pPr>
      <w:r>
        <w:t xml:space="preserve">The phenomenological observations about grief, trauma, and Ω have direct clinical implications. If PTSD corresponds to Ω-collapse in relevant neural oscillations, then effective treatment should be measurable as a broadening of Ω—an increase in the CV of, say, amygdala-prefrontal phase-locking toward the predicted baseline. Conversely, if mania corresponds to Ω-inflation, then mood stabilisation should narrow CV toward baseline.</w:t>
      </w:r>
    </w:p>
    <w:p>
      <w:pPr>
        <w:spacing w:after="200" w:line="300"/>
      </w:pPr>
      <w:r>
        <w:t xml:space="preserve">The ADHD data in the original paper is suggestive: reaction time CV in ADHD (0.325) is roughly twice the prediction (0.159), consistent with elevated Ω in the decision-threshold process. The existing clinical literature on reaction time variability in ADHD, which has identified elevated CV as one of the most reliable cognitive markers of the condition, is entirely consistent with CRR’s framework but has lacked a theoretical basis for why CV should be elevated or by how much.</w:t>
      </w:r>
    </w:p>
    <w:p>
      <w:pPr>
        <w:spacing w:after="200" w:line="300"/>
      </w:pPr>
      <w:r>
        <w:t xml:space="preserve">CRR offers something that current precision psychiatry lacks: a parameter-free baseline against which to measure dysregulation. Rather than comparing a patient to a normative population, the clinician compares the patient’s CV to the geometric prediction for that system’s symmetry class. The deviation is the diagnosis. The direction of deviation—suppressed or elevated—specifies the mechanism.</w:t>
      </w:r>
    </w:p>
    <w:p>
      <w:pPr>
        <w:spacing w:after="200" w:line="300"/>
      </w:pPr>
      <w:r>
        <w:rPr>
          <w:b/>
          <w:bCs/>
        </w:rPr>
        <w:t xml:space="preserve">Near-term path: </w:t>
      </w:r>
      <w:r>
        <w:t xml:space="preserve">Analysis of existing clinical trial datasets for PTSD, ADHD, and bipolar disorder, testing whether treatment response correlates with CV normalisation toward CRR-predicted baselines. This is a reanalysis project, not a new clinical trial.</w:t>
      </w:r>
    </w:p>
    <w:p>
      <w:pPr>
        <w:pStyle w:val="Heading2"/>
      </w:pPr>
      <w:r>
        <w:t xml:space="preserve">Bioengineering: Designing Oscillatory Systems</w:t>
      </w:r>
    </w:p>
    <w:p>
      <w:pPr>
        <w:spacing w:after="200" w:line="300"/>
      </w:pPr>
      <w:r>
        <w:t xml:space="preserve">The repressilator analysis in the paper demonstrates CRR’s utility for synthetic biology. The three-gene oscillator’s CV is elevated above the Z₃ prediction because one sub-cycle (TetR de-repression) accounts for disproportionate variance. The DNA sponge variant, which buffers this sub-cycle, brings CV from 0.32 down to 0.14—almost exactly the symmetric Z₃ prediction of 0.106.</w:t>
      </w:r>
    </w:p>
    <w:p>
      <w:pPr>
        <w:spacing w:after="200" w:line="300"/>
      </w:pPr>
      <w:r>
        <w:t xml:space="preserve">This provides a design principle for synthetic oscillators: engineer symmetric sub-cycles. If a synthetic circuit has n discrete phases and you want minimal timing variability, CRR predicts CV = 1/(nπ) and tells you that deviations above this value indicate asymmetric barrier heights. The diagnostic goes further: measuring CV of individual sub-cycles identifies which phase is the bottleneck.</w:t>
      </w:r>
    </w:p>
    <w:p>
      <w:pPr>
        <w:spacing w:after="200" w:line="300"/>
      </w:pPr>
      <w:r>
        <w:t xml:space="preserve">The same logic applies to engineered cardiac pacemakers, insulin delivery systems, and any biomedical device that must oscillate reliably. The CRR prediction provides the theoretical minimum variability for the device’s symmetry class; anything below that requires active regulation (energy cost); anything above that indicates a design flaw.</w:t>
      </w:r>
    </w:p>
    <w:p>
      <w:pPr>
        <w:spacing w:after="200" w:line="300"/>
      </w:pPr>
      <w:r>
        <w:rPr>
          <w:b/>
          <w:bCs/>
        </w:rPr>
        <w:t xml:space="preserve">Near-term path: </w:t>
      </w:r>
      <w:r>
        <w:t xml:space="preserve">Collaboration with synthetic biology laboratories to test CRR predictions in engineered gene circuits with controlled symmetry. Design of a synthetic Z₄ oscillator and measurement of its CV against the 1/(4π) prediction.</w:t>
      </w:r>
    </w:p>
    <w:p>
      <w:pPr>
        <w:pStyle w:val="Heading2"/>
      </w:pPr>
      <w:r>
        <w:t xml:space="preserve">Education and Communication</w:t>
      </w:r>
    </w:p>
    <w:p>
      <w:pPr>
        <w:spacing w:after="200" w:line="300"/>
      </w:pPr>
      <w:r>
        <w:t xml:space="preserve">Finally, an application that is less technical but potentially more consequential: CRR offers a language for talking about temporal process that bridges disciplines. A cardiologist, a climate scientist, a synthetic biologist, and a contemplative practitioner are all describing systems that accumulate coherence, rupture at a threshold, and regenerate from weighted memory. They use different vocabularies. CRR gives them a shared one.</w:t>
      </w:r>
    </w:p>
    <w:p>
      <w:pPr>
        <w:spacing w:after="200" w:line="300"/>
      </w:pPr>
      <w:r>
        <w:t xml:space="preserve">For education specifically, the framework’s power is that it begins with a single observable—the coefficient of variation of cycle times—and from that single number derives the system’s symmetry class, its proximity to rupture, the sharpness of its memory kernel, and whether it is autonomous, regulated, or noise-driven. This is the kind of unifying principle that makes complex systems accessible: measure one thing, learn five things.</w:t>
      </w:r>
    </w:p>
    <w:p>
      <w:pPr>
        <w:spacing w:before="300" w:after="300"/>
        <w:jc w:val="center"/>
      </w:pPr>
      <w:r>
        <w:rPr>
          <w:rFonts w:ascii="Arial" w:cs="Arial" w:eastAsia="Arial" w:hAnsi="Arial"/>
          <w:color w:val="AAAAAA"/>
          <w:sz w:val="20"/>
          <w:szCs w:val="20"/>
        </w:rPr>
        <w:t xml:space="preserve">•  •  •</w:t>
      </w:r>
    </w:p>
    <w:p>
      <w:pPr>
        <w:pStyle w:val="Heading1"/>
      </w:pPr>
      <w:r>
        <w:t xml:space="preserve">III. What Remains to Be Seen</w:t>
      </w:r>
    </w:p>
    <w:p>
      <w:pPr>
        <w:spacing w:after="200" w:line="300"/>
      </w:pPr>
      <w:r>
        <w:t xml:space="preserve">The responsible conclusion is that CRR is promising, internally consistent, and empirically supported to a degree that makes it worth serious investment of scientific attention—but it is not yet established. The CV = Ω/2 derivation has a gap. The Zₙ extrapolation for n &gt; 2 is unproven. The fine-structure constant derivation is extraordinary and may be numerological. The 132-system dataset was classified by a single researcher.</w:t>
      </w:r>
    </w:p>
    <w:p>
      <w:pPr>
        <w:spacing w:after="200" w:line="300"/>
      </w:pPr>
      <w:r>
        <w:t xml:space="preserve">Our own 12-system replication, conducted blind, found 82% accuracy and zero directional reversals. That is encouraging. It is not definitive. What would be definitive is the programme the paper itself calls for: an independent researcher classifying a third batch of 100+ systems, a temperature-dependence experiment testing CV ∝ T, a rigorous derivation of the circular Landauer limit, and direct measurement of Fisher–Rao traversal distances in a physical system.</w:t>
      </w:r>
    </w:p>
    <w:p>
      <w:pPr>
        <w:spacing w:after="200" w:line="300"/>
      </w:pPr>
      <w:r>
        <w:t xml:space="preserve">If those tests succeed, the implications are large. A single parameter, determined by symmetry and geometry alone, that predicts the temporal variability of systems from hydrogen atoms to human heartbeats, that connects the Cramér–Rao bound to the phenomenology of beauty, and that gives contemplative traditions a structural account of what they have always described—that would be a contribution to how we understand time itself.</w:t>
      </w:r>
    </w:p>
    <w:p>
      <w:pPr>
        <w:spacing w:after="200" w:line="300"/>
      </w:pPr>
      <w:r>
        <w:t xml:space="preserve">For now, the appropriate stance is engaged scepticism: take it seriously enough to test, rigorously enough to falsify, and honestly enough to report the results either way. The circle is there. Whether it is the same circle at every scale remains to be seen.</w:t>
      </w:r>
    </w:p>
    <w:p>
      <w:pPr>
        <w:spacing w:before="600"/>
      </w:pPr>
    </w:p>
    <w:p>
      <w:pPr>
        <w:jc w:val="center"/>
      </w:pPr>
      <w:r>
        <w:rPr>
          <w:color w:val="AAAAAA"/>
          <w:sz w:val="18"/>
          <w:szCs w:val="18"/>
        </w:rPr>
        <w:t xml:space="preserve">—</w:t>
      </w:r>
    </w:p>
    <w:p>
      <w:pPr>
        <w:spacing w:after="100"/>
        <w:jc w:val="center"/>
      </w:pPr>
      <w:r>
        <w:rPr>
          <w:rFonts w:ascii="Arial" w:cs="Arial" w:eastAsia="Arial" w:hAnsi="Arial"/>
          <w:i/>
          <w:iCs/>
          <w:color w:val="999999"/>
          <w:sz w:val="18"/>
          <w:szCs w:val="18"/>
        </w:rPr>
        <w:t xml:space="preserve">Review compiled March 2026, drawing on Sabine (2026) CRR: A Temporal Grammar and an independent 12-system replication exercise.</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2026-03-12T12:29:50.082Z</dcterms:created>
  <dcterms:modified xsi:type="dcterms:W3CDTF">2026-03-12T12:29:50.083Z</dcterms:modified>
</cp:coreProperties>
</file>

<file path=docProps/custom.xml><?xml version="1.0" encoding="utf-8"?>
<Properties xmlns="http://schemas.openxmlformats.org/officeDocument/2006/custom-properties" xmlns:vt="http://schemas.openxmlformats.org/officeDocument/2006/docPropsVTypes"/>
</file>