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59" w:lineRule="auto"/>
      </w:pPr>
      <w:r>
        <w:rPr>
          <w:rFonts w:ascii="Aptos Display" w:hAnsi="Aptos Display"/>
          <w:b/>
          <w:color w:val="1A477D"/>
          <w:sz w:val="52"/>
        </w:rPr>
        <w:t>Document de cadrage</w:t>
      </w:r>
    </w:p>
    <w:p>
      <w:pPr>
        <w:pStyle w:val="SubtitleCustom"/>
        <w:spacing w:after="60" w:line="259" w:lineRule="auto"/>
      </w:pPr>
      <w:r>
        <w:t>Plugin Jeedom de publication automatique vers Home Assistant</w:t>
      </w:r>
    </w:p>
    <w:p>
      <w:pPr>
        <w:pStyle w:val="CoverMeta"/>
        <w:spacing w:after="200" w:line="259" w:lineRule="auto"/>
      </w:pPr>
      <w:r>
        <w:t>Projet cible : plugin Jeedom avec démon, appuyé sur MQTT Discovery pour exposer automatiquement équipements, commandes utiles et scénarios dans Home Assistant.</w:t>
      </w:r>
    </w:p>
    <w:tbl>
      <w:tblPr>
        <w:tblW w:type="auto" w:w="0"/>
        <w:jc w:val="left"/>
        <w:tblLayout w:type="fixed"/>
        <w:tblLook w:firstColumn="1" w:firstRow="1" w:lastColumn="0" w:lastRow="0" w:noHBand="0" w:noVBand="1" w:val="04A0"/>
      </w:tblPr>
      <w:tblGrid>
        <w:gridCol w:w="9524"/>
      </w:tblGrid>
      <w:tr>
        <w:tc>
          <w:tcPr>
            <w:tcW w:type="dxa" w:w="10200"/>
            <w:shd w:fill="EAF1FB"/>
            <w:tcMar>
              <w:top w:w="120" w:type="dxa"/>
              <w:start w:w="150" w:type="dxa"/>
              <w:bottom w:w="120" w:type="dxa"/>
              <w:end w:w="150" w:type="dxa"/>
            </w:tcMar>
          </w:tcPr>
          <w:p>
            <w:pPr>
              <w:spacing w:before="0" w:after="0" w:line="259" w:lineRule="auto"/>
            </w:pPr>
            <w:r>
              <w:rPr>
                <w:b/>
                <w:color w:val="1A477D"/>
                <w:sz w:val="23"/>
              </w:rPr>
              <w:t>Décision de cadrage</w:t>
              <w:br/>
            </w:r>
            <w:r>
              <w:rPr>
                <w:sz w:val="20"/>
              </w:rPr>
              <w:t>Construire une V1 80/20 qui couvre très bien les équipements standards déjà correctement typés dans Jeedom, plutôt que chercher une compatibilité totale dès le départ. Les types génériques constituent le principal accélérateur, mais ils ne remplacent ni le moteur de mapping, ni la gestion du round-trip état/commande, ni la découverte/suppression MQTT côté Home Assistant.</w:t>
            </w:r>
          </w:p>
        </w:tc>
      </w:tr>
    </w:tbl>
    <w:p>
      <w:pPr>
        <w:spacing w:line="259" w:lineRule="auto" w:after="80"/>
      </w:pPr>
    </w:p>
    <w:tbl>
      <w:tblPr>
        <w:tblW w:type="auto" w:w="0"/>
        <w:jc w:val="left"/>
        <w:tblLayout w:type="fixed"/>
        <w:tblLook w:firstColumn="1" w:firstRow="1" w:lastColumn="0" w:lastRow="0" w:noHBand="0" w:noVBand="1" w:val="04A0"/>
        <w:tblBorders>
          <w:top w:val="single" w:sz="8" w:space="0" w:color="D6DEEB"/>
          <w:left w:val="single" w:sz="8" w:space="0" w:color="D6DEEB"/>
          <w:bottom w:val="single" w:sz="8" w:space="0" w:color="D6DEEB"/>
          <w:right w:val="single" w:sz="8" w:space="0" w:color="D6DEEB"/>
          <w:insideH w:val="single" w:sz="8" w:space="0" w:color="D6DEEB"/>
          <w:insideV w:val="single" w:sz="8" w:space="0" w:color="D6DEEB"/>
        </w:tblBorders>
      </w:tblPr>
      <w:tblGrid>
        <w:gridCol w:w="2381"/>
        <w:gridCol w:w="7143"/>
      </w:tblGrid>
      <w:tr>
        <w:tc>
          <w:tcPr>
            <w:tcW w:type="dxa" w:w="5100"/>
            <w:shd w:fill="1A477D"/>
            <w:tcMar>
              <w:top w:w="80" w:type="dxa"/>
              <w:start w:w="100" w:type="dxa"/>
              <w:bottom w:w="80" w:type="dxa"/>
              <w:end w:w="100" w:type="dxa"/>
            </w:tcMar>
          </w:tcPr>
          <w:p>
            <w:pPr>
              <w:pStyle w:val="SectionHeader"/>
              <w:spacing w:before="0" w:after="0" w:line="259" w:lineRule="auto"/>
            </w:pPr>
            <w:r>
              <w:t>Objectif V1</w:t>
            </w:r>
          </w:p>
        </w:tc>
        <w:tc>
          <w:tcPr>
            <w:tcW w:type="dxa" w:w="5100"/>
            <w:tcMar>
              <w:top w:w="80" w:type="dxa"/>
              <w:start w:w="100" w:type="dxa"/>
              <w:bottom w:w="80" w:type="dxa"/>
              <w:end w:w="100" w:type="dxa"/>
            </w:tcMar>
          </w:tcPr>
          <w:p>
            <w:pPr>
              <w:pStyle w:val="TableText"/>
              <w:spacing w:before="0" w:after="0" w:line="259" w:lineRule="auto"/>
            </w:pPr>
            <w:r>
              <w:t>Retrouver automatiquement dans Home Assistant les principaux équipements Jeedom pilotables au quotidien, avec état fiable et commande retour.</w:t>
            </w:r>
          </w:p>
        </w:tc>
      </w:tr>
      <w:tr>
        <w:tc>
          <w:tcPr>
            <w:tcW w:type="dxa" w:w="5100"/>
            <w:shd w:fill="1A477D"/>
            <w:tcMar>
              <w:top w:w="80" w:type="dxa"/>
              <w:start w:w="100" w:type="dxa"/>
              <w:bottom w:w="80" w:type="dxa"/>
              <w:end w:w="100" w:type="dxa"/>
            </w:tcMar>
          </w:tcPr>
          <w:p>
            <w:pPr>
              <w:pStyle w:val="SectionHeader"/>
              <w:spacing w:before="0" w:after="0" w:line="259" w:lineRule="auto"/>
            </w:pPr>
            <w:r>
              <w:t>Ce qui est inclus</w:t>
            </w:r>
          </w:p>
        </w:tc>
        <w:tc>
          <w:tcPr>
            <w:tcW w:type="dxa" w:w="5100"/>
            <w:tcMar>
              <w:top w:w="80" w:type="dxa"/>
              <w:start w:w="100" w:type="dxa"/>
              <w:bottom w:w="80" w:type="dxa"/>
              <w:end w:w="100" w:type="dxa"/>
            </w:tcMar>
          </w:tcPr>
          <w:p>
            <w:pPr>
              <w:pStyle w:val="TableText"/>
              <w:spacing w:before="0" w:after="0" w:line="259" w:lineRule="auto"/>
            </w:pPr>
            <w:r>
              <w:t>Lumières, prises/switchs, volets, capteurs simples, thermostats simples, scénarios basiques, filtres d’exposition, rescan, renommage, suppression propre.</w:t>
            </w:r>
          </w:p>
        </w:tc>
      </w:tr>
      <w:tr>
        <w:tc>
          <w:tcPr>
            <w:tcW w:type="dxa" w:w="5100"/>
            <w:shd w:fill="1A477D"/>
            <w:tcMar>
              <w:top w:w="80" w:type="dxa"/>
              <w:start w:w="100" w:type="dxa"/>
              <w:bottom w:w="80" w:type="dxa"/>
              <w:end w:w="100" w:type="dxa"/>
            </w:tcMar>
          </w:tcPr>
          <w:p>
            <w:pPr>
              <w:pStyle w:val="SectionHeader"/>
              <w:spacing w:before="0" w:after="0" w:line="259" w:lineRule="auto"/>
            </w:pPr>
            <w:r>
              <w:t>Ce qui est reporté</w:t>
            </w:r>
          </w:p>
        </w:tc>
        <w:tc>
          <w:tcPr>
            <w:tcW w:type="dxa" w:w="5100"/>
            <w:tcMar>
              <w:top w:w="80" w:type="dxa"/>
              <w:start w:w="100" w:type="dxa"/>
              <w:bottom w:w="80" w:type="dxa"/>
              <w:end w:w="100" w:type="dxa"/>
            </w:tcMar>
          </w:tcPr>
          <w:p>
            <w:pPr>
              <w:pStyle w:val="TableText"/>
              <w:spacing w:before="0" w:after="0" w:line="259" w:lineRule="auto"/>
            </w:pPr>
            <w:r>
              <w:t>Import massif d’historique, graphes Jeedom natifs dans HA, plugins exotiques, caméras avancées, compatibilité exhaustive de toutes les commandes.</w:t>
            </w:r>
          </w:p>
        </w:tc>
      </w:tr>
    </w:tbl>
    <w:p>
      <w:pPr>
        <w:spacing w:line="259" w:lineRule="auto" w:after="80"/>
      </w:pPr>
      <w:r>
        <w:br w:type="page"/>
      </w:r>
    </w:p>
    <w:p>
      <w:pPr>
        <w:pStyle w:val="Heading1"/>
      </w:pPr>
      <w:r>
        <w:t>1. Contexte et opportunité</w:t>
      </w:r>
    </w:p>
    <w:p>
      <w:pPr>
        <w:spacing w:line="259" w:lineRule="auto" w:after="80"/>
      </w:pPr>
      <w:r>
        <w:rPr>
          <w:b/>
        </w:rPr>
        <w:t xml:space="preserve">Constat. </w:t>
      </w:r>
      <w:r>
        <w:t>L’utilisateur souhaite profiter des avantages de Home Assistant (Assist, langage naturel, écosystème, MCP côté HA, tableaux de bord) sans migrer sa logique domotique hors de Jeedom. L’idée produit consiste donc à publier automatiquement la maison Jeedom vers Home Assistant, afin que HA devienne une façade de consommation et d’interaction, tandis que Jeedom reste le moteur d’exécution.</w:t>
      </w:r>
    </w:p>
    <w:p>
      <w:pPr>
        <w:spacing w:line="259" w:lineRule="auto" w:after="80"/>
      </w:pPr>
      <w:r>
        <w:rPr>
          <w:b/>
        </w:rPr>
        <w:t xml:space="preserve">Hypothèse structurante. </w:t>
      </w:r>
      <w:r>
        <w:t>Les types génériques Jeedom sont déjà largement exploités par le core et par des plugins comme Homebridge, Google Smarthome ou Alexa. Ils permettent donc d’accélérer fortement le mapping V1, car une grande partie de la sémantique de haut niveau est déjà présente dans l’installation cible.</w:t>
      </w:r>
    </w:p>
    <w:tbl>
      <w:tblPr>
        <w:tblW w:type="auto" w:w="0"/>
        <w:jc w:val="left"/>
        <w:tblLayout w:type="fixed"/>
        <w:tblLook w:firstColumn="1" w:firstRow="1" w:lastColumn="0" w:lastRow="0" w:noHBand="0" w:noVBand="1" w:val="04A0"/>
      </w:tblPr>
      <w:tblGrid>
        <w:gridCol w:w="9524"/>
      </w:tblGrid>
      <w:tr>
        <w:tc>
          <w:tcPr>
            <w:tcW w:type="dxa" w:w="10200"/>
            <w:shd w:fill="FFF4E5"/>
            <w:tcMar>
              <w:top w:w="120" w:type="dxa"/>
              <w:start w:w="150" w:type="dxa"/>
              <w:bottom w:w="120" w:type="dxa"/>
              <w:end w:w="150" w:type="dxa"/>
            </w:tcMar>
          </w:tcPr>
          <w:p>
            <w:pPr>
              <w:spacing w:before="0" w:after="0" w:line="259" w:lineRule="auto"/>
            </w:pPr>
            <w:r>
              <w:rPr>
                <w:b/>
                <w:color w:val="8C5800"/>
              </w:rPr>
              <w:t>Important - ce que les types génériques accélèrent, et ce qu’ils ne résolvent pas</w:t>
              <w:br/>
            </w:r>
            <w:r>
              <w:rPr>
                <w:sz w:val="20"/>
              </w:rPr>
              <w:t>Ils accélèrent : la qualification de l’équipement, le choix du type d’entité HA, et la couverture des cas standards. Ils ne résolvent pas : la publication MQTT Discovery, la gestion des renommages/suppressions, les états de scénarios, les exclusions utilisateur, les commandes atypiques, ni le round-trip fiable état/commande.</w:t>
            </w:r>
          </w:p>
        </w:tc>
      </w:tr>
    </w:tbl>
    <w:p>
      <w:pPr>
        <w:pStyle w:val="Heading1"/>
      </w:pPr>
      <w:r>
        <w:t>2. Vision produit</w:t>
      </w:r>
    </w:p>
    <w:p>
      <w:pPr>
        <w:pStyle w:val="ListBullet"/>
        <w:spacing w:after="40" w:line="259" w:lineRule="auto"/>
        <w:ind w:left="113"/>
      </w:pPr>
      <w:r>
        <w:t>Jeedom conserve la logique métier, les scénarios, les plugins matériels, les automatismes et les historiques natifs.</w:t>
      </w:r>
    </w:p>
    <w:p>
      <w:pPr>
        <w:pStyle w:val="ListBullet"/>
        <w:spacing w:after="40" w:line="259" w:lineRule="auto"/>
        <w:ind w:left="113"/>
      </w:pPr>
      <w:r>
        <w:t>Home Assistant récupère automatiquement les équipements utiles sous forme d’entités natives, prêtes pour le pilotage, les dashboards, Assist et le MCP Server de HA.</w:t>
      </w:r>
    </w:p>
    <w:p>
      <w:pPr>
        <w:pStyle w:val="ListBullet"/>
        <w:spacing w:after="40" w:line="259" w:lineRule="auto"/>
        <w:ind w:left="113"/>
      </w:pPr>
      <w:r>
        <w:t>L’utilisateur n’a pas à recoder un nouvel équipement : il doit seulement l’intégrer correctement dans Jeedom et, idéalement, lui affecter les bons types génériques.</w:t>
      </w:r>
    </w:p>
    <w:p>
      <w:pPr>
        <w:pStyle w:val="ListBullet"/>
        <w:spacing w:after="40" w:line="259" w:lineRule="auto"/>
        <w:ind w:left="113"/>
      </w:pPr>
      <w:r>
        <w:t>Le produit doit être simple à comprendre : “je publie Jeedom vers HA sans migration”.</w:t>
      </w:r>
    </w:p>
    <w:p>
      <w:pPr>
        <w:pStyle w:val="Heading1"/>
      </w:pPr>
      <w:r>
        <w:t>3. Objectifs de la V1</w:t>
      </w:r>
    </w:p>
    <w:p>
      <w:pPr>
        <w:pStyle w:val="ListBullet"/>
        <w:spacing w:after="40" w:line="259" w:lineRule="auto"/>
        <w:ind w:left="113"/>
      </w:pPr>
      <w:r>
        <w:t>Publier automatiquement dans Home Assistant les équipements Jeedom du quotidien déjà bien typés.</w:t>
      </w:r>
    </w:p>
    <w:p>
      <w:pPr>
        <w:pStyle w:val="ListBullet"/>
        <w:spacing w:after="40" w:line="259" w:lineRule="auto"/>
        <w:ind w:left="113"/>
      </w:pPr>
      <w:r>
        <w:t>Permettre la commande retour HA -&gt; Jeedom avec latence faible et état cohérent.</w:t>
      </w:r>
    </w:p>
    <w:p>
      <w:pPr>
        <w:pStyle w:val="ListBullet"/>
        <w:spacing w:after="40" w:line="259" w:lineRule="auto"/>
        <w:ind w:left="113"/>
      </w:pPr>
      <w:r>
        <w:t>Rendre le plugin utilisable sans configuration lourde : un assistant minimal, quelques filtres, puis synchronisation.</w:t>
      </w:r>
    </w:p>
    <w:p>
      <w:pPr>
        <w:pStyle w:val="ListBullet"/>
        <w:spacing w:after="40" w:line="259" w:lineRule="auto"/>
        <w:ind w:left="113"/>
      </w:pPr>
      <w:r>
        <w:t>Fournir de la visibilité sur le mapping : pourquoi un équipement est exposé, ou non.</w:t>
      </w:r>
    </w:p>
    <w:p>
      <w:pPr>
        <w:pStyle w:val="ListBullet"/>
        <w:spacing w:after="40" w:line="259" w:lineRule="auto"/>
        <w:ind w:left="113"/>
      </w:pPr>
      <w:r>
        <w:t>Conserver un périmètre volontairement restreint pour sortir vite une V1 robuste.</w:t>
      </w:r>
    </w:p>
    <w:p>
      <w:pPr>
        <w:pStyle w:val="Heading1"/>
      </w:pPr>
      <w:r>
        <w:t>4. Non-objectifs de la V1</w:t>
      </w:r>
    </w:p>
    <w:p>
      <w:pPr>
        <w:pStyle w:val="ListBullet"/>
        <w:spacing w:after="40" w:line="259" w:lineRule="auto"/>
        <w:ind w:left="113"/>
      </w:pPr>
      <w:r>
        <w:t>Couvrir 100 % des plugins Jeedom et de leurs commandes exotiques.</w:t>
      </w:r>
    </w:p>
    <w:p>
      <w:pPr>
        <w:pStyle w:val="ListBullet"/>
        <w:spacing w:after="40" w:line="259" w:lineRule="auto"/>
        <w:ind w:left="113"/>
      </w:pPr>
      <w:r>
        <w:t>Importer l’historique complet Jeedom dans la base historique de HA.</w:t>
      </w:r>
    </w:p>
    <w:p>
      <w:pPr>
        <w:pStyle w:val="ListBullet"/>
        <w:spacing w:after="40" w:line="259" w:lineRule="auto"/>
        <w:ind w:left="113"/>
      </w:pPr>
      <w:r>
        <w:t>Reproduire tous les widgets graphiques Jeedom ou leurs graphes dans Home Assistant.</w:t>
      </w:r>
    </w:p>
    <w:p>
      <w:pPr>
        <w:pStyle w:val="ListBullet"/>
        <w:spacing w:after="40" w:line="259" w:lineRule="auto"/>
        <w:ind w:left="113"/>
      </w:pPr>
      <w:r>
        <w:t>Créer un serveur MCP Jeedom natif dans cette première phase.</w:t>
      </w:r>
    </w:p>
    <w:p>
      <w:pPr>
        <w:pStyle w:val="ListBullet"/>
        <w:spacing w:after="40" w:line="259" w:lineRule="auto"/>
        <w:ind w:left="113"/>
      </w:pPr>
      <w:r>
        <w:t>Supporter en profondeur les caméras, interphones, multimédia avancé, alarmes complexes et équipements non standardisés.</w:t>
      </w:r>
    </w:p>
    <w:p>
      <w:pPr>
        <w:pStyle w:val="Heading1"/>
      </w:pPr>
      <w:r>
        <w:t>5. Périmètre fonctionnel V1 recommandé</w:t>
      </w:r>
    </w:p>
    <w:tbl>
      <w:tblPr>
        <w:tblW w:type="auto" w:w="0"/>
        <w:jc w:val="left"/>
        <w:tblLayout w:type="fixed"/>
        <w:tblLook w:firstColumn="1" w:firstRow="1" w:lastColumn="0" w:lastRow="0" w:noHBand="0" w:noVBand="1" w:val="04A0"/>
        <w:tblBorders>
          <w:top w:val="single" w:sz="8" w:space="0" w:color="D6DEEB"/>
          <w:left w:val="single" w:sz="8" w:space="0" w:color="D6DEEB"/>
          <w:bottom w:val="single" w:sz="8" w:space="0" w:color="D6DEEB"/>
          <w:right w:val="single" w:sz="8" w:space="0" w:color="D6DEEB"/>
          <w:insideH w:val="single" w:sz="8" w:space="0" w:color="D6DEEB"/>
          <w:insideV w:val="single" w:sz="8" w:space="0" w:color="D6DEEB"/>
        </w:tblBorders>
      </w:tblPr>
      <w:tblGrid>
        <w:gridCol w:w="2268"/>
        <w:gridCol w:w="1701"/>
        <w:gridCol w:w="2835"/>
        <w:gridCol w:w="2721"/>
      </w:tblGrid>
      <w:tr>
        <w:tc>
          <w:tcPr>
            <w:tcW w:type="dxa" w:w="2550"/>
            <w:shd w:fill="1A477D"/>
            <w:tcMar>
              <w:top w:w="80" w:type="dxa"/>
              <w:start w:w="100" w:type="dxa"/>
              <w:bottom w:w="80" w:type="dxa"/>
              <w:end w:w="100" w:type="dxa"/>
            </w:tcMar>
          </w:tcPr>
          <w:p>
            <w:pPr>
              <w:pStyle w:val="SectionHeader"/>
              <w:spacing w:before="0" w:after="0" w:line="259" w:lineRule="auto"/>
            </w:pPr>
            <w:r>
              <w:t>Famille</w:t>
            </w:r>
          </w:p>
        </w:tc>
        <w:tc>
          <w:tcPr>
            <w:tcW w:type="dxa" w:w="2550"/>
            <w:shd w:fill="1A477D"/>
            <w:tcMar>
              <w:top w:w="80" w:type="dxa"/>
              <w:start w:w="100" w:type="dxa"/>
              <w:bottom w:w="80" w:type="dxa"/>
              <w:end w:w="100" w:type="dxa"/>
            </w:tcMar>
          </w:tcPr>
          <w:p>
            <w:pPr>
              <w:pStyle w:val="SectionHeader"/>
              <w:spacing w:before="0" w:after="0" w:line="259" w:lineRule="auto"/>
            </w:pPr>
            <w:r>
              <w:t>Décision V1</w:t>
            </w:r>
          </w:p>
        </w:tc>
        <w:tc>
          <w:tcPr>
            <w:tcW w:type="dxa" w:w="2550"/>
            <w:shd w:fill="1A477D"/>
            <w:tcMar>
              <w:top w:w="80" w:type="dxa"/>
              <w:start w:w="100" w:type="dxa"/>
              <w:bottom w:w="80" w:type="dxa"/>
              <w:end w:w="100" w:type="dxa"/>
            </w:tcMar>
          </w:tcPr>
          <w:p>
            <w:pPr>
              <w:pStyle w:val="SectionHeader"/>
              <w:spacing w:before="0" w:after="0" w:line="259" w:lineRule="auto"/>
            </w:pPr>
            <w:r>
              <w:t>Règle de mapping</w:t>
            </w:r>
          </w:p>
        </w:tc>
        <w:tc>
          <w:tcPr>
            <w:tcW w:type="dxa" w:w="2550"/>
            <w:shd w:fill="1A477D"/>
            <w:tcMar>
              <w:top w:w="80" w:type="dxa"/>
              <w:start w:w="100" w:type="dxa"/>
              <w:bottom w:w="80" w:type="dxa"/>
              <w:end w:w="100" w:type="dxa"/>
            </w:tcMar>
          </w:tcPr>
          <w:p>
            <w:pPr>
              <w:pStyle w:val="SectionHeader"/>
              <w:spacing w:before="0" w:after="0" w:line="259" w:lineRule="auto"/>
            </w:pPr>
            <w:r>
              <w:t>Commentaires</w:t>
            </w:r>
          </w:p>
        </w:tc>
      </w:tr>
      <w:tr>
        <w:tc>
          <w:tcPr>
            <w:tcW w:type="dxa" w:w="2268"/>
            <w:tcMar>
              <w:top w:w="80" w:type="dxa"/>
              <w:start w:w="100" w:type="dxa"/>
              <w:bottom w:w="80" w:type="dxa"/>
              <w:end w:w="100" w:type="dxa"/>
            </w:tcMar>
          </w:tcPr>
          <w:p>
            <w:pPr>
              <w:pStyle w:val="TableText"/>
              <w:spacing w:before="0" w:after="0" w:line="259" w:lineRule="auto"/>
            </w:pPr>
            <w:r>
              <w:t>Lumières</w:t>
            </w:r>
          </w:p>
        </w:tc>
        <w:tc>
          <w:tcPr>
            <w:tcW w:type="dxa" w:w="1701"/>
            <w:tcMar>
              <w:top w:w="80" w:type="dxa"/>
              <w:start w:w="100" w:type="dxa"/>
              <w:bottom w:w="80" w:type="dxa"/>
              <w:end w:w="100" w:type="dxa"/>
            </w:tcMar>
            <w:shd w:fill="EAF1FB"/>
          </w:tcPr>
          <w:p>
            <w:pPr>
              <w:pStyle w:val="TableText"/>
              <w:spacing w:before="0" w:after="0" w:line="259" w:lineRule="auto"/>
            </w:pPr>
            <w:r>
              <w:t>Inclus</w:t>
            </w:r>
          </w:p>
        </w:tc>
        <w:tc>
          <w:tcPr>
            <w:tcW w:type="dxa" w:w="2835"/>
            <w:tcMar>
              <w:top w:w="80" w:type="dxa"/>
              <w:start w:w="100" w:type="dxa"/>
              <w:bottom w:w="80" w:type="dxa"/>
              <w:end w:w="100" w:type="dxa"/>
            </w:tcMar>
          </w:tcPr>
          <w:p>
            <w:pPr>
              <w:pStyle w:val="TableText"/>
              <w:spacing w:before="0" w:after="0" w:line="259" w:lineRule="auto"/>
            </w:pPr>
            <w:r>
              <w:t>light si commandes ON/OFF + état ; dimmer si niveau disponible</w:t>
            </w:r>
          </w:p>
        </w:tc>
        <w:tc>
          <w:tcPr>
            <w:tcW w:type="dxa" w:w="2721"/>
            <w:tcMar>
              <w:top w:w="80" w:type="dxa"/>
              <w:start w:w="100" w:type="dxa"/>
              <w:bottom w:w="80" w:type="dxa"/>
              <w:end w:w="100" w:type="dxa"/>
            </w:tcMar>
          </w:tcPr>
          <w:p>
            <w:pPr>
              <w:pStyle w:val="TableText"/>
              <w:spacing w:before="0" w:after="0" w:line="259" w:lineRule="auto"/>
            </w:pPr>
            <w:r>
              <w:t>Priorité haute ; excellent cas d’usage Assist / Apple Maison / dashboards</w:t>
            </w:r>
          </w:p>
        </w:tc>
      </w:tr>
      <w:tr>
        <w:tc>
          <w:tcPr>
            <w:tcW w:type="dxa" w:w="2268"/>
            <w:tcMar>
              <w:top w:w="80" w:type="dxa"/>
              <w:start w:w="100" w:type="dxa"/>
              <w:bottom w:w="80" w:type="dxa"/>
              <w:end w:w="100" w:type="dxa"/>
            </w:tcMar>
          </w:tcPr>
          <w:p>
            <w:pPr>
              <w:pStyle w:val="TableText"/>
              <w:spacing w:before="0" w:after="0" w:line="259" w:lineRule="auto"/>
            </w:pPr>
            <w:r>
              <w:t>Prises / relais</w:t>
            </w:r>
          </w:p>
        </w:tc>
        <w:tc>
          <w:tcPr>
            <w:tcW w:type="dxa" w:w="1701"/>
            <w:tcMar>
              <w:top w:w="80" w:type="dxa"/>
              <w:start w:w="100" w:type="dxa"/>
              <w:bottom w:w="80" w:type="dxa"/>
              <w:end w:w="100" w:type="dxa"/>
            </w:tcMar>
            <w:shd w:fill="EAF1FB"/>
          </w:tcPr>
          <w:p>
            <w:pPr>
              <w:pStyle w:val="TableText"/>
              <w:spacing w:before="0" w:after="0" w:line="259" w:lineRule="auto"/>
            </w:pPr>
            <w:r>
              <w:t>Inclus</w:t>
            </w:r>
          </w:p>
        </w:tc>
        <w:tc>
          <w:tcPr>
            <w:tcW w:type="dxa" w:w="2835"/>
            <w:tcMar>
              <w:top w:w="80" w:type="dxa"/>
              <w:start w:w="100" w:type="dxa"/>
              <w:bottom w:w="80" w:type="dxa"/>
              <w:end w:w="100" w:type="dxa"/>
            </w:tcMar>
          </w:tcPr>
          <w:p>
            <w:pPr>
              <w:pStyle w:val="TableText"/>
              <w:spacing w:before="0" w:after="0" w:line="259" w:lineRule="auto"/>
            </w:pPr>
            <w:r>
              <w:t>switch</w:t>
            </w:r>
          </w:p>
        </w:tc>
        <w:tc>
          <w:tcPr>
            <w:tcW w:type="dxa" w:w="2721"/>
            <w:tcMar>
              <w:top w:w="80" w:type="dxa"/>
              <w:start w:w="100" w:type="dxa"/>
              <w:bottom w:w="80" w:type="dxa"/>
              <w:end w:w="100" w:type="dxa"/>
            </w:tcMar>
          </w:tcPr>
          <w:p>
            <w:pPr>
              <w:pStyle w:val="TableText"/>
              <w:spacing w:before="0" w:after="0" w:line="259" w:lineRule="auto"/>
            </w:pPr>
            <w:r>
              <w:t>Très simple à supporter, forte valeur immédiate</w:t>
            </w:r>
          </w:p>
        </w:tc>
      </w:tr>
      <w:tr>
        <w:tc>
          <w:tcPr>
            <w:tcW w:type="dxa" w:w="2268"/>
            <w:tcMar>
              <w:top w:w="80" w:type="dxa"/>
              <w:start w:w="100" w:type="dxa"/>
              <w:bottom w:w="80" w:type="dxa"/>
              <w:end w:w="100" w:type="dxa"/>
            </w:tcMar>
          </w:tcPr>
          <w:p>
            <w:pPr>
              <w:pStyle w:val="TableText"/>
              <w:spacing w:before="0" w:after="0" w:line="259" w:lineRule="auto"/>
            </w:pPr>
            <w:r>
              <w:t>Volets</w:t>
            </w:r>
          </w:p>
        </w:tc>
        <w:tc>
          <w:tcPr>
            <w:tcW w:type="dxa" w:w="1701"/>
            <w:tcMar>
              <w:top w:w="80" w:type="dxa"/>
              <w:start w:w="100" w:type="dxa"/>
              <w:bottom w:w="80" w:type="dxa"/>
              <w:end w:w="100" w:type="dxa"/>
            </w:tcMar>
            <w:shd w:fill="EAF1FB"/>
          </w:tcPr>
          <w:p>
            <w:pPr>
              <w:pStyle w:val="TableText"/>
              <w:spacing w:before="0" w:after="0" w:line="259" w:lineRule="auto"/>
            </w:pPr>
            <w:r>
              <w:t>Inclus</w:t>
            </w:r>
          </w:p>
        </w:tc>
        <w:tc>
          <w:tcPr>
            <w:tcW w:type="dxa" w:w="2835"/>
            <w:tcMar>
              <w:top w:w="80" w:type="dxa"/>
              <w:start w:w="100" w:type="dxa"/>
              <w:bottom w:w="80" w:type="dxa"/>
              <w:end w:w="100" w:type="dxa"/>
            </w:tcMar>
          </w:tcPr>
          <w:p>
            <w:pPr>
              <w:pStyle w:val="TableText"/>
              <w:spacing w:before="0" w:after="0" w:line="259" w:lineRule="auto"/>
            </w:pPr>
            <w:r>
              <w:t>cover avec open/close/stop ; position si disponible</w:t>
            </w:r>
          </w:p>
        </w:tc>
        <w:tc>
          <w:tcPr>
            <w:tcW w:type="dxa" w:w="2721"/>
            <w:tcMar>
              <w:top w:w="80" w:type="dxa"/>
              <w:start w:w="100" w:type="dxa"/>
              <w:bottom w:w="80" w:type="dxa"/>
              <w:end w:w="100" w:type="dxa"/>
            </w:tcMar>
          </w:tcPr>
          <w:p>
            <w:pPr>
              <w:pStyle w:val="TableText"/>
              <w:spacing w:before="0" w:after="0" w:line="259" w:lineRule="auto"/>
            </w:pPr>
            <w:r>
              <w:t>Tester les cas sans retour de position</w:t>
            </w:r>
          </w:p>
        </w:tc>
      </w:tr>
      <w:tr>
        <w:tc>
          <w:tcPr>
            <w:tcW w:type="dxa" w:w="2268"/>
            <w:tcMar>
              <w:top w:w="80" w:type="dxa"/>
              <w:start w:w="100" w:type="dxa"/>
              <w:bottom w:w="80" w:type="dxa"/>
              <w:end w:w="100" w:type="dxa"/>
            </w:tcMar>
          </w:tcPr>
          <w:p>
            <w:pPr>
              <w:pStyle w:val="TableText"/>
              <w:spacing w:before="0" w:after="0" w:line="259" w:lineRule="auto"/>
            </w:pPr>
            <w:r>
              <w:t>Capteurs simples</w:t>
            </w:r>
          </w:p>
        </w:tc>
        <w:tc>
          <w:tcPr>
            <w:tcW w:type="dxa" w:w="1701"/>
            <w:tcMar>
              <w:top w:w="80" w:type="dxa"/>
              <w:start w:w="100" w:type="dxa"/>
              <w:bottom w:w="80" w:type="dxa"/>
              <w:end w:w="100" w:type="dxa"/>
            </w:tcMar>
            <w:shd w:fill="EAF1FB"/>
          </w:tcPr>
          <w:p>
            <w:pPr>
              <w:pStyle w:val="TableText"/>
              <w:spacing w:before="0" w:after="0" w:line="259" w:lineRule="auto"/>
            </w:pPr>
            <w:r>
              <w:t>Inclus</w:t>
            </w:r>
          </w:p>
        </w:tc>
        <w:tc>
          <w:tcPr>
            <w:tcW w:type="dxa" w:w="2835"/>
            <w:tcMar>
              <w:top w:w="80" w:type="dxa"/>
              <w:start w:w="100" w:type="dxa"/>
              <w:bottom w:w="80" w:type="dxa"/>
              <w:end w:w="100" w:type="dxa"/>
            </w:tcMar>
          </w:tcPr>
          <w:p>
            <w:pPr>
              <w:pStyle w:val="TableText"/>
              <w:spacing w:before="0" w:after="0" w:line="259" w:lineRule="auto"/>
            </w:pPr>
            <w:r>
              <w:t>sensor / binary_sensor</w:t>
            </w:r>
          </w:p>
        </w:tc>
        <w:tc>
          <w:tcPr>
            <w:tcW w:type="dxa" w:w="2721"/>
            <w:tcMar>
              <w:top w:w="80" w:type="dxa"/>
              <w:start w:w="100" w:type="dxa"/>
              <w:bottom w:w="80" w:type="dxa"/>
              <w:end w:w="100" w:type="dxa"/>
            </w:tcMar>
          </w:tcPr>
          <w:p>
            <w:pPr>
              <w:pStyle w:val="TableText"/>
              <w:spacing w:before="0" w:after="0" w:line="259" w:lineRule="auto"/>
            </w:pPr>
            <w:r>
              <w:t>Température, humidité, puissance, présence, ouverture, fuite, etc.</w:t>
            </w:r>
          </w:p>
        </w:tc>
      </w:tr>
      <w:tr>
        <w:tc>
          <w:tcPr>
            <w:tcW w:type="dxa" w:w="2268"/>
            <w:tcMar>
              <w:top w:w="80" w:type="dxa"/>
              <w:start w:w="100" w:type="dxa"/>
              <w:bottom w:w="80" w:type="dxa"/>
              <w:end w:w="100" w:type="dxa"/>
            </w:tcMar>
          </w:tcPr>
          <w:p>
            <w:pPr>
              <w:pStyle w:val="TableText"/>
              <w:spacing w:before="0" w:after="0" w:line="259" w:lineRule="auto"/>
            </w:pPr>
            <w:r>
              <w:t>Thermostats simples</w:t>
            </w:r>
          </w:p>
        </w:tc>
        <w:tc>
          <w:tcPr>
            <w:tcW w:type="dxa" w:w="1701"/>
            <w:tcMar>
              <w:top w:w="80" w:type="dxa"/>
              <w:start w:w="100" w:type="dxa"/>
              <w:bottom w:w="80" w:type="dxa"/>
              <w:end w:w="100" w:type="dxa"/>
            </w:tcMar>
            <w:shd w:fill="FFF4E5"/>
          </w:tcPr>
          <w:p>
            <w:pPr>
              <w:pStyle w:val="TableText"/>
              <w:spacing w:before="0" w:after="0" w:line="259" w:lineRule="auto"/>
            </w:pPr>
            <w:r>
              <w:t>Inclus avec prudence</w:t>
            </w:r>
          </w:p>
        </w:tc>
        <w:tc>
          <w:tcPr>
            <w:tcW w:type="dxa" w:w="2835"/>
            <w:tcMar>
              <w:top w:w="80" w:type="dxa"/>
              <w:start w:w="100" w:type="dxa"/>
              <w:bottom w:w="80" w:type="dxa"/>
              <w:end w:w="100" w:type="dxa"/>
            </w:tcMar>
          </w:tcPr>
          <w:p>
            <w:pPr>
              <w:pStyle w:val="TableText"/>
              <w:spacing w:before="0" w:after="0" w:line="259" w:lineRule="auto"/>
            </w:pPr>
            <w:r>
              <w:t>climate si le modèle est clair ; sinon sensor + switch/number</w:t>
            </w:r>
          </w:p>
        </w:tc>
        <w:tc>
          <w:tcPr>
            <w:tcW w:type="dxa" w:w="2721"/>
            <w:tcMar>
              <w:top w:w="80" w:type="dxa"/>
              <w:start w:w="100" w:type="dxa"/>
              <w:bottom w:w="80" w:type="dxa"/>
              <w:end w:w="100" w:type="dxa"/>
            </w:tcMar>
          </w:tcPr>
          <w:p>
            <w:pPr>
              <w:pStyle w:val="TableText"/>
              <w:spacing w:before="0" w:after="0" w:line="259" w:lineRule="auto"/>
            </w:pPr>
            <w:r>
              <w:t>Ne pas forcer un faux climate si la structure Jeedom n’est pas suffisante</w:t>
            </w:r>
          </w:p>
        </w:tc>
      </w:tr>
      <w:tr>
        <w:tc>
          <w:tcPr>
            <w:tcW w:type="dxa" w:w="2268"/>
            <w:tcMar>
              <w:top w:w="80" w:type="dxa"/>
              <w:start w:w="100" w:type="dxa"/>
              <w:bottom w:w="80" w:type="dxa"/>
              <w:end w:w="100" w:type="dxa"/>
            </w:tcMar>
          </w:tcPr>
          <w:p>
            <w:pPr>
              <w:pStyle w:val="TableText"/>
              <w:spacing w:before="0" w:after="0" w:line="259" w:lineRule="auto"/>
            </w:pPr>
            <w:r>
              <w:t>Scénarios</w:t>
            </w:r>
          </w:p>
        </w:tc>
        <w:tc>
          <w:tcPr>
            <w:tcW w:type="dxa" w:w="1701"/>
            <w:tcMar>
              <w:top w:w="80" w:type="dxa"/>
              <w:start w:w="100" w:type="dxa"/>
              <w:bottom w:w="80" w:type="dxa"/>
              <w:end w:w="100" w:type="dxa"/>
            </w:tcMar>
            <w:shd w:fill="F6F6F6"/>
          </w:tcPr>
          <w:p>
            <w:pPr>
              <w:pStyle w:val="TableText"/>
              <w:spacing w:before="0" w:after="0" w:line="259" w:lineRule="auto"/>
            </w:pPr>
            <w:r>
              <w:t>Inclus basique</w:t>
            </w:r>
          </w:p>
        </w:tc>
        <w:tc>
          <w:tcPr>
            <w:tcW w:type="dxa" w:w="2835"/>
            <w:tcMar>
              <w:top w:w="80" w:type="dxa"/>
              <w:start w:w="100" w:type="dxa"/>
              <w:bottom w:w="80" w:type="dxa"/>
              <w:end w:w="100" w:type="dxa"/>
            </w:tcMar>
          </w:tcPr>
          <w:p>
            <w:pPr>
              <w:pStyle w:val="TableText"/>
              <w:spacing w:before="0" w:after="0" w:line="259" w:lineRule="auto"/>
            </w:pPr>
            <w:r>
              <w:t>button run + switch enable/disable + état si exposable</w:t>
            </w:r>
          </w:p>
        </w:tc>
        <w:tc>
          <w:tcPr>
            <w:tcW w:type="dxa" w:w="2721"/>
            <w:tcMar>
              <w:top w:w="80" w:type="dxa"/>
              <w:start w:w="100" w:type="dxa"/>
              <w:bottom w:w="80" w:type="dxa"/>
              <w:end w:w="100" w:type="dxa"/>
            </w:tcMar>
          </w:tcPr>
          <w:p>
            <w:pPr>
              <w:pStyle w:val="TableText"/>
              <w:spacing w:before="0" w:after="0" w:line="259" w:lineRule="auto"/>
            </w:pPr>
            <w:r>
              <w:t>Valeur forte pour les “modes maison”</w:t>
            </w:r>
          </w:p>
        </w:tc>
      </w:tr>
      <w:tr>
        <w:tc>
          <w:tcPr>
            <w:tcW w:type="dxa" w:w="2268"/>
            <w:tcMar>
              <w:top w:w="80" w:type="dxa"/>
              <w:start w:w="100" w:type="dxa"/>
              <w:bottom w:w="80" w:type="dxa"/>
              <w:end w:w="100" w:type="dxa"/>
            </w:tcMar>
          </w:tcPr>
          <w:p>
            <w:pPr>
              <w:pStyle w:val="TableText"/>
              <w:spacing w:before="0" w:after="0" w:line="259" w:lineRule="auto"/>
            </w:pPr>
            <w:r>
              <w:t>Caméras</w:t>
            </w:r>
          </w:p>
        </w:tc>
        <w:tc>
          <w:tcPr>
            <w:tcW w:type="dxa" w:w="1701"/>
            <w:tcMar>
              <w:top w:w="80" w:type="dxa"/>
              <w:start w:w="100" w:type="dxa"/>
              <w:bottom w:w="80" w:type="dxa"/>
              <w:end w:w="100" w:type="dxa"/>
            </w:tcMar>
            <w:shd w:fill="F6F6F6"/>
          </w:tcPr>
          <w:p>
            <w:pPr>
              <w:pStyle w:val="TableText"/>
              <w:spacing w:before="0" w:after="0" w:line="259" w:lineRule="auto"/>
            </w:pPr>
            <w:r>
              <w:t>Hors V1</w:t>
            </w:r>
          </w:p>
        </w:tc>
        <w:tc>
          <w:tcPr>
            <w:tcW w:type="dxa" w:w="2835"/>
            <w:tcMar>
              <w:top w:w="80" w:type="dxa"/>
              <w:start w:w="100" w:type="dxa"/>
              <w:bottom w:w="80" w:type="dxa"/>
              <w:end w:w="100" w:type="dxa"/>
            </w:tcMar>
          </w:tcPr>
          <w:p>
            <w:pPr>
              <w:pStyle w:val="TableText"/>
              <w:spacing w:before="0" w:after="0" w:line="259" w:lineRule="auto"/>
            </w:pPr>
            <w:r>
              <w:t>—</w:t>
            </w:r>
          </w:p>
        </w:tc>
        <w:tc>
          <w:tcPr>
            <w:tcW w:type="dxa" w:w="2721"/>
            <w:tcMar>
              <w:top w:w="80" w:type="dxa"/>
              <w:start w:w="100" w:type="dxa"/>
              <w:bottom w:w="80" w:type="dxa"/>
              <w:end w:w="100" w:type="dxa"/>
            </w:tcMar>
          </w:tcPr>
          <w:p>
            <w:pPr>
              <w:pStyle w:val="TableText"/>
              <w:spacing w:before="0" w:after="0" w:line="259" w:lineRule="auto"/>
            </w:pPr>
            <w:r>
              <w:t>À traiter plus tard</w:t>
            </w:r>
          </w:p>
        </w:tc>
      </w:tr>
      <w:tr>
        <w:tc>
          <w:tcPr>
            <w:tcW w:type="dxa" w:w="2268"/>
            <w:tcMar>
              <w:top w:w="80" w:type="dxa"/>
              <w:start w:w="100" w:type="dxa"/>
              <w:bottom w:w="80" w:type="dxa"/>
              <w:end w:w="100" w:type="dxa"/>
            </w:tcMar>
          </w:tcPr>
          <w:p>
            <w:pPr>
              <w:pStyle w:val="TableText"/>
              <w:spacing w:before="0" w:after="0" w:line="259" w:lineRule="auto"/>
            </w:pPr>
            <w:r>
              <w:t>Historique Jeedom</w:t>
            </w:r>
          </w:p>
        </w:tc>
        <w:tc>
          <w:tcPr>
            <w:tcW w:type="dxa" w:w="1701"/>
            <w:tcMar>
              <w:top w:w="80" w:type="dxa"/>
              <w:start w:w="100" w:type="dxa"/>
              <w:bottom w:w="80" w:type="dxa"/>
              <w:end w:w="100" w:type="dxa"/>
            </w:tcMar>
            <w:shd w:fill="F6F6F6"/>
          </w:tcPr>
          <w:p>
            <w:pPr>
              <w:pStyle w:val="TableText"/>
              <w:spacing w:before="0" w:after="0" w:line="259" w:lineRule="auto"/>
            </w:pPr>
            <w:r>
              <w:t>Hors V1</w:t>
            </w:r>
          </w:p>
        </w:tc>
        <w:tc>
          <w:tcPr>
            <w:tcW w:type="dxa" w:w="2835"/>
            <w:tcMar>
              <w:top w:w="80" w:type="dxa"/>
              <w:start w:w="100" w:type="dxa"/>
              <w:bottom w:w="80" w:type="dxa"/>
              <w:end w:w="100" w:type="dxa"/>
            </w:tcMar>
          </w:tcPr>
          <w:p>
            <w:pPr>
              <w:pStyle w:val="TableText"/>
              <w:spacing w:before="0" w:after="0" w:line="259" w:lineRule="auto"/>
            </w:pPr>
            <w:r>
              <w:t>—</w:t>
            </w:r>
          </w:p>
        </w:tc>
        <w:tc>
          <w:tcPr>
            <w:tcW w:type="dxa" w:w="2721"/>
            <w:tcMar>
              <w:top w:w="80" w:type="dxa"/>
              <w:start w:w="100" w:type="dxa"/>
              <w:bottom w:w="80" w:type="dxa"/>
              <w:end w:w="100" w:type="dxa"/>
            </w:tcMar>
          </w:tcPr>
          <w:p>
            <w:pPr>
              <w:pStyle w:val="TableText"/>
              <w:spacing w:before="0" w:after="0" w:line="259" w:lineRule="auto"/>
            </w:pPr>
            <w:r>
              <w:t>HA construit son historique à partir du démarrage de la synchro</w:t>
            </w:r>
          </w:p>
        </w:tc>
      </w:tr>
    </w:tbl>
    <w:p>
      <w:pPr>
        <w:pStyle w:val="Heading1"/>
      </w:pPr>
      <w:r>
        <w:t>6. Hypothèses de mapping</w:t>
      </w:r>
    </w:p>
    <w:p>
      <w:pPr>
        <w:pStyle w:val="ListBullet"/>
        <w:spacing w:after="40" w:line="259" w:lineRule="auto"/>
        <w:ind w:left="113"/>
      </w:pPr>
      <w:r>
        <w:t>1 eqLogic Jeedom = 1 device Home Assistant.</w:t>
      </w:r>
    </w:p>
    <w:p>
      <w:pPr>
        <w:pStyle w:val="ListBullet"/>
        <w:spacing w:after="40" w:line="259" w:lineRule="auto"/>
        <w:ind w:left="113"/>
      </w:pPr>
      <w:r>
        <w:t>Les commandes Info deviennent des entités de lecture (sensor / binary_sensor) quand leur nature est déterminable.</w:t>
      </w:r>
    </w:p>
    <w:p>
      <w:pPr>
        <w:pStyle w:val="ListBullet"/>
        <w:spacing w:after="40" w:line="259" w:lineRule="auto"/>
        <w:ind w:left="113"/>
      </w:pPr>
      <w:r>
        <w:t>Les commandes Action deviennent des entités pilotables (light, switch, cover, button, number, select) selon les types génériques et, en secours, le type/sous-type.</w:t>
      </w:r>
    </w:p>
    <w:p>
      <w:pPr>
        <w:pStyle w:val="ListBullet"/>
        <w:spacing w:after="40" w:line="259" w:lineRule="auto"/>
        <w:ind w:left="113"/>
      </w:pPr>
      <w:r>
        <w:t>Les identifiants techniques reposent sur les IDs Jeedom, pas sur les noms, pour survivre aux renommages.</w:t>
      </w:r>
    </w:p>
    <w:p>
      <w:pPr>
        <w:pStyle w:val="ListBullet"/>
        <w:spacing w:after="40" w:line="259" w:lineRule="auto"/>
        <w:ind w:left="113"/>
      </w:pPr>
      <w:r>
        <w:t>Les objets Jeedom servent de base à l’area / au nom d’affichage dans Home Assistant.</w:t>
      </w:r>
    </w:p>
    <w:p>
      <w:pPr>
        <w:pStyle w:val="Heading1"/>
      </w:pPr>
      <w:r>
        <w:t>7. Architecture cible V1</w:t>
      </w:r>
    </w:p>
    <w:tbl>
      <w:tblPr>
        <w:tblW w:type="auto" w:w="0"/>
        <w:jc w:val="left"/>
        <w:tblLayout w:type="fixed"/>
        <w:tblLook w:firstColumn="1" w:firstRow="1" w:lastColumn="0" w:lastRow="0" w:noHBand="0" w:noVBand="1" w:val="04A0"/>
        <w:tblBorders>
          <w:top w:val="single" w:sz="8" w:space="0" w:color="D6DEEB"/>
          <w:left w:val="single" w:sz="8" w:space="0" w:color="D6DEEB"/>
          <w:bottom w:val="single" w:sz="8" w:space="0" w:color="D6DEEB"/>
          <w:right w:val="single" w:sz="8" w:space="0" w:color="D6DEEB"/>
          <w:insideH w:val="single" w:sz="8" w:space="0" w:color="D6DEEB"/>
          <w:insideV w:val="single" w:sz="8" w:space="0" w:color="D6DEEB"/>
        </w:tblBorders>
      </w:tblPr>
      <w:tblGrid>
        <w:gridCol w:w="2324"/>
        <w:gridCol w:w="7087"/>
      </w:tblGrid>
      <w:tr>
        <w:tc>
          <w:tcPr>
            <w:tcW w:type="dxa" w:w="5100"/>
            <w:tcMar>
              <w:top w:w="80" w:type="dxa"/>
              <w:start w:w="100" w:type="dxa"/>
              <w:bottom w:w="80" w:type="dxa"/>
              <w:end w:w="100" w:type="dxa"/>
            </w:tcMar>
            <w:shd w:fill="EAF1FB"/>
          </w:tcPr>
          <w:p>
            <w:pPr>
              <w:pStyle w:val="TableText"/>
              <w:spacing w:before="0" w:after="0" w:line="259" w:lineRule="auto"/>
            </w:pPr>
            <w:r>
              <w:rPr>
                <w:b/>
              </w:rPr>
              <w:t>Plugin Jeedom (PHP)</w:t>
            </w:r>
          </w:p>
        </w:tc>
        <w:tc>
          <w:tcPr>
            <w:tcW w:type="dxa" w:w="5100"/>
            <w:tcMar>
              <w:top w:w="80" w:type="dxa"/>
              <w:start w:w="100" w:type="dxa"/>
              <w:bottom w:w="80" w:type="dxa"/>
              <w:end w:w="100" w:type="dxa"/>
            </w:tcMar>
            <w:shd w:fill="F9FBFE"/>
          </w:tcPr>
          <w:p>
            <w:pPr>
              <w:pStyle w:val="TableText"/>
              <w:spacing w:before="0" w:after="0" w:line="259" w:lineRule="auto"/>
            </w:pPr>
            <w:r>
              <w:t>Configuration, filtres d’exposition, gestion du démon, pages de diagnostic, actions de rescan et de republishing.</w:t>
            </w:r>
          </w:p>
        </w:tc>
      </w:tr>
      <w:tr>
        <w:tc>
          <w:tcPr>
            <w:tcW w:type="dxa" w:w="5100"/>
            <w:tcMar>
              <w:top w:w="80" w:type="dxa"/>
              <w:start w:w="100" w:type="dxa"/>
              <w:bottom w:w="80" w:type="dxa"/>
              <w:end w:w="100" w:type="dxa"/>
            </w:tcMar>
          </w:tcPr>
          <w:p>
            <w:pPr>
              <w:pStyle w:val="TableText"/>
              <w:spacing w:before="0" w:after="0" w:line="259" w:lineRule="auto"/>
            </w:pPr>
            <w:r>
              <w:rPr>
                <w:b/>
              </w:rPr>
              <w:t>Démon</w:t>
            </w:r>
          </w:p>
        </w:tc>
        <w:tc>
          <w:tcPr>
            <w:tcW w:type="dxa" w:w="5100"/>
            <w:tcMar>
              <w:top w:w="80" w:type="dxa"/>
              <w:start w:w="100" w:type="dxa"/>
              <w:bottom w:w="80" w:type="dxa"/>
              <w:end w:w="100" w:type="dxa"/>
            </w:tcMar>
          </w:tcPr>
          <w:p>
            <w:pPr>
              <w:pStyle w:val="TableText"/>
              <w:spacing w:before="0" w:after="0" w:line="259" w:lineRule="auto"/>
            </w:pPr>
            <w:r>
              <w:t>Processus actif responsable du bootstrap, du cache local, du mapping, des publications MQTT Discovery, des abonnements de commande et de la réconciliation.</w:t>
            </w:r>
          </w:p>
        </w:tc>
      </w:tr>
      <w:tr>
        <w:tc>
          <w:tcPr>
            <w:tcW w:type="dxa" w:w="5100"/>
            <w:tcMar>
              <w:top w:w="80" w:type="dxa"/>
              <w:start w:w="100" w:type="dxa"/>
              <w:bottom w:w="80" w:type="dxa"/>
              <w:end w:w="100" w:type="dxa"/>
            </w:tcMar>
            <w:shd w:fill="EAF1FB"/>
          </w:tcPr>
          <w:p>
            <w:pPr>
              <w:pStyle w:val="TableText"/>
              <w:spacing w:before="0" w:after="0" w:line="259" w:lineRule="auto"/>
            </w:pPr>
            <w:r>
              <w:rPr>
                <w:b/>
              </w:rPr>
              <w:t>Accès Jeedom</w:t>
            </w:r>
          </w:p>
        </w:tc>
        <w:tc>
          <w:tcPr>
            <w:tcW w:type="dxa" w:w="5100"/>
            <w:tcMar>
              <w:top w:w="80" w:type="dxa"/>
              <w:start w:w="100" w:type="dxa"/>
              <w:bottom w:w="80" w:type="dxa"/>
              <w:end w:w="100" w:type="dxa"/>
            </w:tcMar>
            <w:shd w:fill="F9FBFE"/>
          </w:tcPr>
          <w:p>
            <w:pPr>
              <w:pStyle w:val="TableText"/>
              <w:spacing w:before="0" w:after="0" w:line="259" w:lineRule="auto"/>
            </w:pPr>
            <w:r>
              <w:t>Lecture du modèle Jeedom depuis le plugin/core ; usage des concepts du core et compatibilité avec les APIs documentées côté Jeedom.</w:t>
            </w:r>
          </w:p>
        </w:tc>
      </w:tr>
      <w:tr>
        <w:tc>
          <w:tcPr>
            <w:tcW w:type="dxa" w:w="5100"/>
            <w:tcMar>
              <w:top w:w="80" w:type="dxa"/>
              <w:start w:w="100" w:type="dxa"/>
              <w:bottom w:w="80" w:type="dxa"/>
              <w:end w:w="100" w:type="dxa"/>
            </w:tcMar>
          </w:tcPr>
          <w:p>
            <w:pPr>
              <w:pStyle w:val="TableText"/>
              <w:spacing w:before="0" w:after="0" w:line="259" w:lineRule="auto"/>
            </w:pPr>
            <w:r>
              <w:rPr>
                <w:b/>
              </w:rPr>
              <w:t>Transport MQTT</w:t>
            </w:r>
          </w:p>
        </w:tc>
        <w:tc>
          <w:tcPr>
            <w:tcW w:type="dxa" w:w="5100"/>
            <w:tcMar>
              <w:top w:w="80" w:type="dxa"/>
              <w:start w:w="100" w:type="dxa"/>
              <w:bottom w:w="80" w:type="dxa"/>
              <w:end w:w="100" w:type="dxa"/>
            </w:tcMar>
          </w:tcPr>
          <w:p>
            <w:pPr>
              <w:pStyle w:val="TableText"/>
              <w:spacing w:before="0" w:after="0" w:line="259" w:lineRule="auto"/>
            </w:pPr>
            <w:r>
              <w:t>Appui sur MQTT Manager comme prérequis V1 pour éviter de réinventer le socle MQTT et bénéficier d’un environnement déjà Jeedom-compatible.</w:t>
            </w:r>
          </w:p>
        </w:tc>
      </w:tr>
      <w:tr>
        <w:tc>
          <w:tcPr>
            <w:tcW w:type="dxa" w:w="5100"/>
            <w:tcMar>
              <w:top w:w="80" w:type="dxa"/>
              <w:start w:w="100" w:type="dxa"/>
              <w:bottom w:w="80" w:type="dxa"/>
              <w:end w:w="100" w:type="dxa"/>
            </w:tcMar>
            <w:shd w:fill="EAF1FB"/>
          </w:tcPr>
          <w:p>
            <w:pPr>
              <w:pStyle w:val="TableText"/>
              <w:spacing w:before="0" w:after="0" w:line="259" w:lineRule="auto"/>
            </w:pPr>
            <w:r>
              <w:rPr>
                <w:b/>
              </w:rPr>
              <w:t>Home Assistant</w:t>
            </w:r>
          </w:p>
        </w:tc>
        <w:tc>
          <w:tcPr>
            <w:tcW w:type="dxa" w:w="5100"/>
            <w:tcMar>
              <w:top w:w="80" w:type="dxa"/>
              <w:start w:w="100" w:type="dxa"/>
              <w:bottom w:w="80" w:type="dxa"/>
              <w:end w:w="100" w:type="dxa"/>
            </w:tcMar>
            <w:shd w:fill="F9FBFE"/>
          </w:tcPr>
          <w:p>
            <w:pPr>
              <w:pStyle w:val="TableText"/>
              <w:spacing w:before="0" w:after="0" w:line="259" w:lineRule="auto"/>
            </w:pPr>
            <w:r>
              <w:t>Consommateur MQTT Discovery, création des devices et entités, Assist, dashboards, automations, MCP Server officiel HA.</w:t>
            </w:r>
          </w:p>
        </w:tc>
      </w:tr>
      <w:tr>
        <w:tc>
          <w:tcPr>
            <w:tcW w:type="dxa" w:w="5100"/>
            <w:tcMar>
              <w:top w:w="80" w:type="dxa"/>
              <w:start w:w="100" w:type="dxa"/>
              <w:bottom w:w="80" w:type="dxa"/>
              <w:end w:w="100" w:type="dxa"/>
            </w:tcMar>
          </w:tcPr>
          <w:p>
            <w:pPr>
              <w:pStyle w:val="TableText"/>
              <w:spacing w:before="0" w:after="0" w:line="259" w:lineRule="auto"/>
            </w:pPr>
            <w:r>
              <w:rPr>
                <w:b/>
              </w:rPr>
              <w:t>Stockage local du plugin</w:t>
            </w:r>
          </w:p>
        </w:tc>
        <w:tc>
          <w:tcPr>
            <w:tcW w:type="dxa" w:w="5100"/>
            <w:tcMar>
              <w:top w:w="80" w:type="dxa"/>
              <w:start w:w="100" w:type="dxa"/>
              <w:bottom w:w="80" w:type="dxa"/>
              <w:end w:w="100" w:type="dxa"/>
            </w:tcMar>
          </w:tcPr>
          <w:p>
            <w:pPr>
              <w:pStyle w:val="TableText"/>
              <w:spacing w:before="0" w:after="0" w:line="259" w:lineRule="auto"/>
            </w:pPr>
            <w:r>
              <w:t>Table de correspondance Jeedom ID -&gt; objet HA, empreinte de config, statut de publication, version du mapping, exclusions utilisateur.</w:t>
            </w:r>
          </w:p>
        </w:tc>
      </w:tr>
    </w:tbl>
    <w:p>
      <w:pPr>
        <w:pStyle w:val="Heading1"/>
      </w:pPr>
      <w:r>
        <w:t>8. Flux principaux</w:t>
      </w:r>
    </w:p>
    <w:p>
      <w:pPr>
        <w:pStyle w:val="ListNumber"/>
        <w:spacing w:after="40" w:line="259" w:lineRule="auto"/>
      </w:pPr>
      <w:r>
        <w:t>Bootstrap : scan initial des objets, équipements, commandes et scénarios ; calcul du mapping ; publication Discovery + états initiaux.</w:t>
      </w:r>
    </w:p>
    <w:p>
      <w:pPr>
        <w:pStyle w:val="ListNumber"/>
        <w:spacing w:after="40" w:line="259" w:lineRule="auto"/>
      </w:pPr>
      <w:r>
        <w:t>Commande : Home Assistant publie sur command_topic ; le démon reçoit, résout la cible Jeedom, exécute la commande puis republie l’état réel dès qu’il est connu.</w:t>
      </w:r>
    </w:p>
    <w:p>
      <w:pPr>
        <w:pStyle w:val="ListNumber"/>
        <w:spacing w:after="40" w:line="259" w:lineRule="auto"/>
      </w:pPr>
      <w:r>
        <w:t>Mise à jour : sur changement d’état Jeedom, publication immédiate sur les state topics concernés.</w:t>
      </w:r>
    </w:p>
    <w:p>
      <w:pPr>
        <w:pStyle w:val="ListNumber"/>
        <w:spacing w:after="40" w:line="259" w:lineRule="auto"/>
      </w:pPr>
      <w:r>
        <w:t>Réconciliation : rescan périodique pour détecter nouvel équipement, suppression, renommage ou évolution de typage.</w:t>
      </w:r>
    </w:p>
    <w:p>
      <w:pPr>
        <w:pStyle w:val="ListNumber"/>
        <w:spacing w:after="40" w:line="259" w:lineRule="auto"/>
      </w:pPr>
      <w:r>
        <w:t>Redémarrage HA : réémission de la discovery sur le birth message homeassistant/status = online.</w:t>
      </w:r>
    </w:p>
    <w:p>
      <w:pPr>
        <w:spacing w:line="259" w:lineRule="auto" w:after="80"/>
      </w:pPr>
      <w:r>
        <w:br w:type="page"/>
      </w:r>
    </w:p>
    <w:p>
      <w:pPr>
        <w:pStyle w:val="Heading1"/>
      </w:pPr>
      <w:r>
        <w:t>9. Backlog produit V1</w:t>
      </w:r>
    </w:p>
    <w:tbl>
      <w:tblPr>
        <w:tblW w:type="auto" w:w="0"/>
        <w:jc w:val="left"/>
        <w:tblLayout w:type="fixed"/>
        <w:tblLook w:firstColumn="1" w:firstRow="1" w:lastColumn="0" w:lastRow="0" w:noHBand="0" w:noVBand="1" w:val="04A0"/>
        <w:tblBorders>
          <w:top w:val="single" w:sz="8" w:space="0" w:color="D6DEEB"/>
          <w:left w:val="single" w:sz="8" w:space="0" w:color="D6DEEB"/>
          <w:bottom w:val="single" w:sz="8" w:space="0" w:color="D6DEEB"/>
          <w:right w:val="single" w:sz="8" w:space="0" w:color="D6DEEB"/>
          <w:insideH w:val="single" w:sz="8" w:space="0" w:color="D6DEEB"/>
          <w:insideV w:val="single" w:sz="8" w:space="0" w:color="D6DEEB"/>
        </w:tblBorders>
      </w:tblPr>
      <w:tblGrid>
        <w:gridCol w:w="794"/>
        <w:gridCol w:w="2438"/>
        <w:gridCol w:w="4139"/>
        <w:gridCol w:w="1984"/>
      </w:tblGrid>
      <w:tr>
        <w:tc>
          <w:tcPr>
            <w:tcW w:type="dxa" w:w="2550"/>
            <w:shd w:fill="1A477D"/>
            <w:tcMar>
              <w:top w:w="80" w:type="dxa"/>
              <w:start w:w="100" w:type="dxa"/>
              <w:bottom w:w="80" w:type="dxa"/>
              <w:end w:w="100" w:type="dxa"/>
            </w:tcMar>
          </w:tcPr>
          <w:p>
            <w:pPr>
              <w:pStyle w:val="SectionHeader"/>
              <w:spacing w:before="0" w:after="0" w:line="259" w:lineRule="auto"/>
            </w:pPr>
            <w:r>
              <w:t>Lot</w:t>
            </w:r>
          </w:p>
        </w:tc>
        <w:tc>
          <w:tcPr>
            <w:tcW w:type="dxa" w:w="2550"/>
            <w:shd w:fill="1A477D"/>
            <w:tcMar>
              <w:top w:w="80" w:type="dxa"/>
              <w:start w:w="100" w:type="dxa"/>
              <w:bottom w:w="80" w:type="dxa"/>
              <w:end w:w="100" w:type="dxa"/>
            </w:tcMar>
          </w:tcPr>
          <w:p>
            <w:pPr>
              <w:pStyle w:val="SectionHeader"/>
              <w:spacing w:before="0" w:after="0" w:line="259" w:lineRule="auto"/>
            </w:pPr>
            <w:r>
              <w:t>Epic</w:t>
            </w:r>
          </w:p>
        </w:tc>
        <w:tc>
          <w:tcPr>
            <w:tcW w:type="dxa" w:w="2550"/>
            <w:shd w:fill="1A477D"/>
            <w:tcMar>
              <w:top w:w="80" w:type="dxa"/>
              <w:start w:w="100" w:type="dxa"/>
              <w:bottom w:w="80" w:type="dxa"/>
              <w:end w:w="100" w:type="dxa"/>
            </w:tcMar>
          </w:tcPr>
          <w:p>
            <w:pPr>
              <w:pStyle w:val="SectionHeader"/>
              <w:spacing w:before="0" w:after="0" w:line="259" w:lineRule="auto"/>
            </w:pPr>
            <w:r>
              <w:t>Livrables</w:t>
            </w:r>
          </w:p>
        </w:tc>
        <w:tc>
          <w:tcPr>
            <w:tcW w:type="dxa" w:w="2550"/>
            <w:shd w:fill="1A477D"/>
            <w:tcMar>
              <w:top w:w="80" w:type="dxa"/>
              <w:start w:w="100" w:type="dxa"/>
              <w:bottom w:w="80" w:type="dxa"/>
              <w:end w:w="100" w:type="dxa"/>
            </w:tcMar>
          </w:tcPr>
          <w:p>
            <w:pPr>
              <w:pStyle w:val="SectionHeader"/>
              <w:spacing w:before="0" w:after="0" w:line="259" w:lineRule="auto"/>
            </w:pPr>
            <w:r>
              <w:t>Priorité</w:t>
            </w:r>
          </w:p>
        </w:tc>
      </w:tr>
      <w:tr>
        <w:tc>
          <w:tcPr>
            <w:tcW w:type="dxa" w:w="794"/>
            <w:tcMar>
              <w:top w:w="80" w:type="dxa"/>
              <w:start w:w="100" w:type="dxa"/>
              <w:bottom w:w="80" w:type="dxa"/>
              <w:end w:w="100" w:type="dxa"/>
            </w:tcMar>
          </w:tcPr>
          <w:p>
            <w:pPr>
              <w:pStyle w:val="TableText"/>
              <w:spacing w:before="0" w:after="0" w:line="259" w:lineRule="auto"/>
            </w:pPr>
            <w:r>
              <w:t>L1</w:t>
            </w:r>
          </w:p>
        </w:tc>
        <w:tc>
          <w:tcPr>
            <w:tcW w:type="dxa" w:w="2438"/>
            <w:tcMar>
              <w:top w:w="80" w:type="dxa"/>
              <w:start w:w="100" w:type="dxa"/>
              <w:bottom w:w="80" w:type="dxa"/>
              <w:end w:w="100" w:type="dxa"/>
            </w:tcMar>
          </w:tcPr>
          <w:p>
            <w:pPr>
              <w:pStyle w:val="TableText"/>
              <w:spacing w:before="0" w:after="0" w:line="259" w:lineRule="auto"/>
            </w:pPr>
            <w:r>
              <w:t>Socle plugin</w:t>
            </w:r>
          </w:p>
        </w:tc>
        <w:tc>
          <w:tcPr>
            <w:tcW w:type="dxa" w:w="4139"/>
            <w:tcMar>
              <w:top w:w="80" w:type="dxa"/>
              <w:start w:w="100" w:type="dxa"/>
              <w:bottom w:w="80" w:type="dxa"/>
              <w:end w:w="100" w:type="dxa"/>
            </w:tcMar>
          </w:tcPr>
          <w:p>
            <w:pPr>
              <w:pStyle w:val="TableText"/>
              <w:spacing w:before="0" w:after="0" w:line="259" w:lineRule="auto"/>
            </w:pPr>
            <w:r>
              <w:t>Squelette plugin, info.json, configuration, gestion démon, logs, prérequis MQTT Manager</w:t>
            </w:r>
          </w:p>
        </w:tc>
        <w:tc>
          <w:tcPr>
            <w:tcW w:type="dxa" w:w="1984"/>
            <w:tcMar>
              <w:top w:w="80" w:type="dxa"/>
              <w:start w:w="100" w:type="dxa"/>
              <w:bottom w:w="80" w:type="dxa"/>
              <w:end w:w="100" w:type="dxa"/>
            </w:tcMar>
            <w:shd w:fill="EAF1FB"/>
          </w:tcPr>
          <w:p>
            <w:pPr>
              <w:pStyle w:val="TableText"/>
              <w:spacing w:before="0" w:after="0" w:line="259" w:lineRule="auto"/>
            </w:pPr>
            <w:r>
              <w:t>P0</w:t>
            </w:r>
          </w:p>
        </w:tc>
      </w:tr>
      <w:tr>
        <w:tc>
          <w:tcPr>
            <w:tcW w:type="dxa" w:w="794"/>
            <w:tcMar>
              <w:top w:w="80" w:type="dxa"/>
              <w:start w:w="100" w:type="dxa"/>
              <w:bottom w:w="80" w:type="dxa"/>
              <w:end w:w="100" w:type="dxa"/>
            </w:tcMar>
          </w:tcPr>
          <w:p>
            <w:pPr>
              <w:pStyle w:val="TableText"/>
              <w:spacing w:before="0" w:after="0" w:line="259" w:lineRule="auto"/>
            </w:pPr>
            <w:r>
              <w:t>L2</w:t>
            </w:r>
          </w:p>
        </w:tc>
        <w:tc>
          <w:tcPr>
            <w:tcW w:type="dxa" w:w="2438"/>
            <w:tcMar>
              <w:top w:w="80" w:type="dxa"/>
              <w:start w:w="100" w:type="dxa"/>
              <w:bottom w:w="80" w:type="dxa"/>
              <w:end w:w="100" w:type="dxa"/>
            </w:tcMar>
          </w:tcPr>
          <w:p>
            <w:pPr>
              <w:pStyle w:val="TableText"/>
              <w:spacing w:before="0" w:after="0" w:line="259" w:lineRule="auto"/>
            </w:pPr>
            <w:r>
              <w:t>Inventaire Jeedom</w:t>
            </w:r>
          </w:p>
        </w:tc>
        <w:tc>
          <w:tcPr>
            <w:tcW w:type="dxa" w:w="4139"/>
            <w:tcMar>
              <w:top w:w="80" w:type="dxa"/>
              <w:start w:w="100" w:type="dxa"/>
              <w:bottom w:w="80" w:type="dxa"/>
              <w:end w:w="100" w:type="dxa"/>
            </w:tcMar>
          </w:tcPr>
          <w:p>
            <w:pPr>
              <w:pStyle w:val="TableText"/>
              <w:spacing w:before="0" w:after="0" w:line="259" w:lineRule="auto"/>
            </w:pPr>
            <w:r>
              <w:t>Lecture objets/eqLogic/cmd/scénarios ; cache local ; identifiants stables</w:t>
            </w:r>
          </w:p>
        </w:tc>
        <w:tc>
          <w:tcPr>
            <w:tcW w:type="dxa" w:w="1984"/>
            <w:tcMar>
              <w:top w:w="80" w:type="dxa"/>
              <w:start w:w="100" w:type="dxa"/>
              <w:bottom w:w="80" w:type="dxa"/>
              <w:end w:w="100" w:type="dxa"/>
            </w:tcMar>
            <w:shd w:fill="EAF1FB"/>
          </w:tcPr>
          <w:p>
            <w:pPr>
              <w:pStyle w:val="TableText"/>
              <w:spacing w:before="0" w:after="0" w:line="259" w:lineRule="auto"/>
            </w:pPr>
            <w:r>
              <w:t>P0</w:t>
            </w:r>
          </w:p>
        </w:tc>
      </w:tr>
      <w:tr>
        <w:tc>
          <w:tcPr>
            <w:tcW w:type="dxa" w:w="794"/>
            <w:tcMar>
              <w:top w:w="80" w:type="dxa"/>
              <w:start w:w="100" w:type="dxa"/>
              <w:bottom w:w="80" w:type="dxa"/>
              <w:end w:w="100" w:type="dxa"/>
            </w:tcMar>
          </w:tcPr>
          <w:p>
            <w:pPr>
              <w:pStyle w:val="TableText"/>
              <w:spacing w:before="0" w:after="0" w:line="259" w:lineRule="auto"/>
            </w:pPr>
            <w:r>
              <w:t>L3</w:t>
            </w:r>
          </w:p>
        </w:tc>
        <w:tc>
          <w:tcPr>
            <w:tcW w:type="dxa" w:w="2438"/>
            <w:tcMar>
              <w:top w:w="80" w:type="dxa"/>
              <w:start w:w="100" w:type="dxa"/>
              <w:bottom w:w="80" w:type="dxa"/>
              <w:end w:w="100" w:type="dxa"/>
            </w:tcMar>
          </w:tcPr>
          <w:p>
            <w:pPr>
              <w:pStyle w:val="TableText"/>
              <w:spacing w:before="0" w:after="0" w:line="259" w:lineRule="auto"/>
            </w:pPr>
            <w:r>
              <w:t>Moteur de mapping</w:t>
            </w:r>
          </w:p>
        </w:tc>
        <w:tc>
          <w:tcPr>
            <w:tcW w:type="dxa" w:w="4139"/>
            <w:tcMar>
              <w:top w:w="80" w:type="dxa"/>
              <w:start w:w="100" w:type="dxa"/>
              <w:bottom w:w="80" w:type="dxa"/>
              <w:end w:w="100" w:type="dxa"/>
            </w:tcMar>
          </w:tcPr>
          <w:p>
            <w:pPr>
              <w:pStyle w:val="TableText"/>
              <w:spacing w:before="0" w:after="0" w:line="259" w:lineRule="auto"/>
            </w:pPr>
            <w:r>
              <w:t>Règles via types génériques ; fallback type/sous-type ; exclusions ; compatibilité V1</w:t>
            </w:r>
          </w:p>
        </w:tc>
        <w:tc>
          <w:tcPr>
            <w:tcW w:type="dxa" w:w="1984"/>
            <w:tcMar>
              <w:top w:w="80" w:type="dxa"/>
              <w:start w:w="100" w:type="dxa"/>
              <w:bottom w:w="80" w:type="dxa"/>
              <w:end w:w="100" w:type="dxa"/>
            </w:tcMar>
            <w:shd w:fill="EAF1FB"/>
          </w:tcPr>
          <w:p>
            <w:pPr>
              <w:pStyle w:val="TableText"/>
              <w:spacing w:before="0" w:after="0" w:line="259" w:lineRule="auto"/>
            </w:pPr>
            <w:r>
              <w:t>P0</w:t>
            </w:r>
          </w:p>
        </w:tc>
      </w:tr>
      <w:tr>
        <w:tc>
          <w:tcPr>
            <w:tcW w:type="dxa" w:w="794"/>
            <w:tcMar>
              <w:top w:w="80" w:type="dxa"/>
              <w:start w:w="100" w:type="dxa"/>
              <w:bottom w:w="80" w:type="dxa"/>
              <w:end w:w="100" w:type="dxa"/>
            </w:tcMar>
          </w:tcPr>
          <w:p>
            <w:pPr>
              <w:pStyle w:val="TableText"/>
              <w:spacing w:before="0" w:after="0" w:line="259" w:lineRule="auto"/>
            </w:pPr>
            <w:r>
              <w:t>L4</w:t>
            </w:r>
          </w:p>
        </w:tc>
        <w:tc>
          <w:tcPr>
            <w:tcW w:type="dxa" w:w="2438"/>
            <w:tcMar>
              <w:top w:w="80" w:type="dxa"/>
              <w:start w:w="100" w:type="dxa"/>
              <w:bottom w:w="80" w:type="dxa"/>
              <w:end w:w="100" w:type="dxa"/>
            </w:tcMar>
          </w:tcPr>
          <w:p>
            <w:pPr>
              <w:pStyle w:val="TableText"/>
              <w:spacing w:before="0" w:after="0" w:line="259" w:lineRule="auto"/>
            </w:pPr>
            <w:r>
              <w:t>Publication HA</w:t>
            </w:r>
          </w:p>
        </w:tc>
        <w:tc>
          <w:tcPr>
            <w:tcW w:type="dxa" w:w="4139"/>
            <w:tcMar>
              <w:top w:w="80" w:type="dxa"/>
              <w:start w:w="100" w:type="dxa"/>
              <w:bottom w:w="80" w:type="dxa"/>
              <w:end w:w="100" w:type="dxa"/>
            </w:tcMar>
          </w:tcPr>
          <w:p>
            <w:pPr>
              <w:pStyle w:val="TableText"/>
              <w:spacing w:before="0" w:after="0" w:line="259" w:lineRule="auto"/>
            </w:pPr>
            <w:r>
              <w:t>MQTT Discovery device-based, state topics, command topics, availability</w:t>
            </w:r>
          </w:p>
        </w:tc>
        <w:tc>
          <w:tcPr>
            <w:tcW w:type="dxa" w:w="1984"/>
            <w:tcMar>
              <w:top w:w="80" w:type="dxa"/>
              <w:start w:w="100" w:type="dxa"/>
              <w:bottom w:w="80" w:type="dxa"/>
              <w:end w:w="100" w:type="dxa"/>
            </w:tcMar>
            <w:shd w:fill="EAF1FB"/>
          </w:tcPr>
          <w:p>
            <w:pPr>
              <w:pStyle w:val="TableText"/>
              <w:spacing w:before="0" w:after="0" w:line="259" w:lineRule="auto"/>
            </w:pPr>
            <w:r>
              <w:t>P0</w:t>
            </w:r>
          </w:p>
        </w:tc>
      </w:tr>
      <w:tr>
        <w:tc>
          <w:tcPr>
            <w:tcW w:type="dxa" w:w="794"/>
            <w:tcMar>
              <w:top w:w="80" w:type="dxa"/>
              <w:start w:w="100" w:type="dxa"/>
              <w:bottom w:w="80" w:type="dxa"/>
              <w:end w:w="100" w:type="dxa"/>
            </w:tcMar>
          </w:tcPr>
          <w:p>
            <w:pPr>
              <w:pStyle w:val="TableText"/>
              <w:spacing w:before="0" w:after="0" w:line="259" w:lineRule="auto"/>
            </w:pPr>
            <w:r>
              <w:t>L5</w:t>
            </w:r>
          </w:p>
        </w:tc>
        <w:tc>
          <w:tcPr>
            <w:tcW w:type="dxa" w:w="2438"/>
            <w:tcMar>
              <w:top w:w="80" w:type="dxa"/>
              <w:start w:w="100" w:type="dxa"/>
              <w:bottom w:w="80" w:type="dxa"/>
              <w:end w:w="100" w:type="dxa"/>
            </w:tcMar>
          </w:tcPr>
          <w:p>
            <w:pPr>
              <w:pStyle w:val="TableText"/>
              <w:spacing w:before="0" w:after="0" w:line="259" w:lineRule="auto"/>
            </w:pPr>
            <w:r>
              <w:t>Commande retour</w:t>
            </w:r>
          </w:p>
        </w:tc>
        <w:tc>
          <w:tcPr>
            <w:tcW w:type="dxa" w:w="4139"/>
            <w:tcMar>
              <w:top w:w="80" w:type="dxa"/>
              <w:start w:w="100" w:type="dxa"/>
              <w:bottom w:w="80" w:type="dxa"/>
              <w:end w:w="100" w:type="dxa"/>
            </w:tcMar>
          </w:tcPr>
          <w:p>
            <w:pPr>
              <w:pStyle w:val="TableText"/>
              <w:spacing w:before="0" w:after="0" w:line="259" w:lineRule="auto"/>
            </w:pPr>
            <w:r>
              <w:t>Exécution fiable des commandes HA -&gt; Jeedom et confirmation d’état</w:t>
            </w:r>
          </w:p>
        </w:tc>
        <w:tc>
          <w:tcPr>
            <w:tcW w:type="dxa" w:w="1984"/>
            <w:tcMar>
              <w:top w:w="80" w:type="dxa"/>
              <w:start w:w="100" w:type="dxa"/>
              <w:bottom w:w="80" w:type="dxa"/>
              <w:end w:w="100" w:type="dxa"/>
            </w:tcMar>
            <w:shd w:fill="EAF1FB"/>
          </w:tcPr>
          <w:p>
            <w:pPr>
              <w:pStyle w:val="TableText"/>
              <w:spacing w:before="0" w:after="0" w:line="259" w:lineRule="auto"/>
            </w:pPr>
            <w:r>
              <w:t>P0</w:t>
            </w:r>
          </w:p>
        </w:tc>
      </w:tr>
      <w:tr>
        <w:tc>
          <w:tcPr>
            <w:tcW w:type="dxa" w:w="794"/>
            <w:tcMar>
              <w:top w:w="80" w:type="dxa"/>
              <w:start w:w="100" w:type="dxa"/>
              <w:bottom w:w="80" w:type="dxa"/>
              <w:end w:w="100" w:type="dxa"/>
            </w:tcMar>
          </w:tcPr>
          <w:p>
            <w:pPr>
              <w:pStyle w:val="TableText"/>
              <w:spacing w:before="0" w:after="0" w:line="259" w:lineRule="auto"/>
            </w:pPr>
            <w:r>
              <w:t>L6</w:t>
            </w:r>
          </w:p>
        </w:tc>
        <w:tc>
          <w:tcPr>
            <w:tcW w:type="dxa" w:w="2438"/>
            <w:tcMar>
              <w:top w:w="80" w:type="dxa"/>
              <w:start w:w="100" w:type="dxa"/>
              <w:bottom w:w="80" w:type="dxa"/>
              <w:end w:w="100" w:type="dxa"/>
            </w:tcMar>
          </w:tcPr>
          <w:p>
            <w:pPr>
              <w:pStyle w:val="TableText"/>
              <w:spacing w:before="0" w:after="0" w:line="259" w:lineRule="auto"/>
            </w:pPr>
            <w:r>
              <w:t>Scénarios</w:t>
            </w:r>
          </w:p>
        </w:tc>
        <w:tc>
          <w:tcPr>
            <w:tcW w:type="dxa" w:w="4139"/>
            <w:tcMar>
              <w:top w:w="80" w:type="dxa"/>
              <w:start w:w="100" w:type="dxa"/>
              <w:bottom w:w="80" w:type="dxa"/>
              <w:end w:w="100" w:type="dxa"/>
            </w:tcMar>
          </w:tcPr>
          <w:p>
            <w:pPr>
              <w:pStyle w:val="TableText"/>
              <w:spacing w:before="0" w:after="0" w:line="259" w:lineRule="auto"/>
            </w:pPr>
            <w:r>
              <w:t>Run / enable / disable + statut si disponible</w:t>
            </w:r>
          </w:p>
        </w:tc>
        <w:tc>
          <w:tcPr>
            <w:tcW w:type="dxa" w:w="1984"/>
            <w:tcMar>
              <w:top w:w="80" w:type="dxa"/>
              <w:start w:w="100" w:type="dxa"/>
              <w:bottom w:w="80" w:type="dxa"/>
              <w:end w:w="100" w:type="dxa"/>
            </w:tcMar>
            <w:shd w:fill="FFF4E5"/>
          </w:tcPr>
          <w:p>
            <w:pPr>
              <w:pStyle w:val="TableText"/>
              <w:spacing w:before="0" w:after="0" w:line="259" w:lineRule="auto"/>
            </w:pPr>
            <w:r>
              <w:t>P1</w:t>
            </w:r>
          </w:p>
        </w:tc>
      </w:tr>
      <w:tr>
        <w:tc>
          <w:tcPr>
            <w:tcW w:type="dxa" w:w="794"/>
            <w:tcMar>
              <w:top w:w="80" w:type="dxa"/>
              <w:start w:w="100" w:type="dxa"/>
              <w:bottom w:w="80" w:type="dxa"/>
              <w:end w:w="100" w:type="dxa"/>
            </w:tcMar>
          </w:tcPr>
          <w:p>
            <w:pPr>
              <w:pStyle w:val="TableText"/>
              <w:spacing w:before="0" w:after="0" w:line="259" w:lineRule="auto"/>
            </w:pPr>
            <w:r>
              <w:t>L7</w:t>
            </w:r>
          </w:p>
        </w:tc>
        <w:tc>
          <w:tcPr>
            <w:tcW w:type="dxa" w:w="2438"/>
            <w:tcMar>
              <w:top w:w="80" w:type="dxa"/>
              <w:start w:w="100" w:type="dxa"/>
              <w:bottom w:w="80" w:type="dxa"/>
              <w:end w:w="100" w:type="dxa"/>
            </w:tcMar>
          </w:tcPr>
          <w:p>
            <w:pPr>
              <w:pStyle w:val="TableText"/>
              <w:spacing w:before="0" w:after="0" w:line="259" w:lineRule="auto"/>
            </w:pPr>
            <w:r>
              <w:t>Réconciliation</w:t>
            </w:r>
          </w:p>
        </w:tc>
        <w:tc>
          <w:tcPr>
            <w:tcW w:type="dxa" w:w="4139"/>
            <w:tcMar>
              <w:top w:w="80" w:type="dxa"/>
              <w:start w:w="100" w:type="dxa"/>
              <w:bottom w:w="80" w:type="dxa"/>
              <w:end w:w="100" w:type="dxa"/>
            </w:tcMar>
          </w:tcPr>
          <w:p>
            <w:pPr>
              <w:pStyle w:val="TableText"/>
              <w:spacing w:before="0" w:after="0" w:line="259" w:lineRule="auto"/>
            </w:pPr>
            <w:r>
              <w:t>Rescan, renommage, suppression propre, nettoyage d’orphelins</w:t>
            </w:r>
          </w:p>
        </w:tc>
        <w:tc>
          <w:tcPr>
            <w:tcW w:type="dxa" w:w="1984"/>
            <w:tcMar>
              <w:top w:w="80" w:type="dxa"/>
              <w:start w:w="100" w:type="dxa"/>
              <w:bottom w:w="80" w:type="dxa"/>
              <w:end w:w="100" w:type="dxa"/>
            </w:tcMar>
            <w:shd w:fill="FFF4E5"/>
          </w:tcPr>
          <w:p>
            <w:pPr>
              <w:pStyle w:val="TableText"/>
              <w:spacing w:before="0" w:after="0" w:line="259" w:lineRule="auto"/>
            </w:pPr>
            <w:r>
              <w:t>P1</w:t>
            </w:r>
          </w:p>
        </w:tc>
      </w:tr>
      <w:tr>
        <w:tc>
          <w:tcPr>
            <w:tcW w:type="dxa" w:w="794"/>
            <w:tcMar>
              <w:top w:w="80" w:type="dxa"/>
              <w:start w:w="100" w:type="dxa"/>
              <w:bottom w:w="80" w:type="dxa"/>
              <w:end w:w="100" w:type="dxa"/>
            </w:tcMar>
          </w:tcPr>
          <w:p>
            <w:pPr>
              <w:pStyle w:val="TableText"/>
              <w:spacing w:before="0" w:after="0" w:line="259" w:lineRule="auto"/>
            </w:pPr>
            <w:r>
              <w:t>L8</w:t>
            </w:r>
          </w:p>
        </w:tc>
        <w:tc>
          <w:tcPr>
            <w:tcW w:type="dxa" w:w="2438"/>
            <w:tcMar>
              <w:top w:w="80" w:type="dxa"/>
              <w:start w:w="100" w:type="dxa"/>
              <w:bottom w:w="80" w:type="dxa"/>
              <w:end w:w="100" w:type="dxa"/>
            </w:tcMar>
          </w:tcPr>
          <w:p>
            <w:pPr>
              <w:pStyle w:val="TableText"/>
              <w:spacing w:before="0" w:after="0" w:line="259" w:lineRule="auto"/>
            </w:pPr>
            <w:r>
              <w:t>UX &amp; diagnostic</w:t>
            </w:r>
          </w:p>
        </w:tc>
        <w:tc>
          <w:tcPr>
            <w:tcW w:type="dxa" w:w="4139"/>
            <w:tcMar>
              <w:top w:w="80" w:type="dxa"/>
              <w:start w:w="100" w:type="dxa"/>
              <w:bottom w:w="80" w:type="dxa"/>
              <w:end w:w="100" w:type="dxa"/>
            </w:tcMar>
          </w:tcPr>
          <w:p>
            <w:pPr>
              <w:pStyle w:val="TableText"/>
              <w:spacing w:before="0" w:after="0" w:line="259" w:lineRule="auto"/>
            </w:pPr>
            <w:r>
              <w:t>Vue “pourquoi exposé / non exposé”, tests, documentation d’installation</w:t>
            </w:r>
          </w:p>
        </w:tc>
        <w:tc>
          <w:tcPr>
            <w:tcW w:type="dxa" w:w="1984"/>
            <w:tcMar>
              <w:top w:w="80" w:type="dxa"/>
              <w:start w:w="100" w:type="dxa"/>
              <w:bottom w:w="80" w:type="dxa"/>
              <w:end w:w="100" w:type="dxa"/>
            </w:tcMar>
            <w:shd w:fill="FFF4E5"/>
          </w:tcPr>
          <w:p>
            <w:pPr>
              <w:pStyle w:val="TableText"/>
              <w:spacing w:before="0" w:after="0" w:line="259" w:lineRule="auto"/>
            </w:pPr>
            <w:r>
              <w:t>P1</w:t>
            </w:r>
          </w:p>
        </w:tc>
      </w:tr>
    </w:tbl>
    <w:p>
      <w:pPr>
        <w:pStyle w:val="Heading1"/>
      </w:pPr>
      <w:r>
        <w:t>10. Critères d’acceptation V1</w:t>
      </w:r>
    </w:p>
    <w:p>
      <w:pPr>
        <w:pStyle w:val="ListBullet"/>
        <w:spacing w:after="40" w:line="259" w:lineRule="auto"/>
        <w:ind w:left="113"/>
      </w:pPr>
      <w:r>
        <w:t>Après activation, le plugin détecte et publie automatiquement au moins les lumières, prises, volets et capteurs simples correctement typés.</w:t>
      </w:r>
    </w:p>
    <w:p>
      <w:pPr>
        <w:pStyle w:val="ListBullet"/>
        <w:spacing w:after="40" w:line="259" w:lineRule="auto"/>
        <w:ind w:left="113"/>
      </w:pPr>
      <w:r>
        <w:t>Un renommage d’équipement dans Jeedom ne crée pas de doublon HA et conserve l’identité technique.</w:t>
      </w:r>
    </w:p>
    <w:p>
      <w:pPr>
        <w:pStyle w:val="ListBullet"/>
        <w:spacing w:after="40" w:line="259" w:lineRule="auto"/>
        <w:ind w:left="113"/>
      </w:pPr>
      <w:r>
        <w:t>Une suppression dans Jeedom entraîne la suppression propre de l’entité/device découverte dans HA.</w:t>
      </w:r>
    </w:p>
    <w:p>
      <w:pPr>
        <w:pStyle w:val="ListBullet"/>
        <w:spacing w:after="40" w:line="259" w:lineRule="auto"/>
        <w:ind w:left="113"/>
      </w:pPr>
      <w:r>
        <w:t>Une commande “allumer/éteindre” émise depuis HA agit correctement sur Jeedom et l’état visible dans HA reste cohérent.</w:t>
      </w:r>
    </w:p>
    <w:p>
      <w:pPr>
        <w:pStyle w:val="ListBullet"/>
        <w:spacing w:after="40" w:line="259" w:lineRule="auto"/>
        <w:ind w:left="113"/>
      </w:pPr>
      <w:r>
        <w:t>Le plugin fournit un journal exploitable et une vue de diagnostic minimale.</w:t>
      </w:r>
    </w:p>
    <w:p>
      <w:pPr>
        <w:pStyle w:val="ListBullet"/>
        <w:spacing w:after="40" w:line="259" w:lineRule="auto"/>
        <w:ind w:left="113"/>
      </w:pPr>
      <w:r>
        <w:t>L’utilisateur peut exclure un équipement ou une famille sans modifier le code.</w:t>
      </w:r>
    </w:p>
    <w:p>
      <w:pPr>
        <w:pStyle w:val="Heading1"/>
      </w:pPr>
      <w:r>
        <w:t>11. Risques et décisions de conception</w:t>
      </w:r>
    </w:p>
    <w:tbl>
      <w:tblPr>
        <w:tblW w:type="auto" w:w="0"/>
        <w:jc w:val="left"/>
        <w:tblLayout w:type="fixed"/>
        <w:tblLook w:firstColumn="1" w:firstRow="1" w:lastColumn="0" w:lastRow="0" w:noHBand="0" w:noVBand="1" w:val="04A0"/>
        <w:tblBorders>
          <w:top w:val="single" w:sz="8" w:space="0" w:color="D6DEEB"/>
          <w:left w:val="single" w:sz="8" w:space="0" w:color="D6DEEB"/>
          <w:bottom w:val="single" w:sz="8" w:space="0" w:color="D6DEEB"/>
          <w:right w:val="single" w:sz="8" w:space="0" w:color="D6DEEB"/>
          <w:insideH w:val="single" w:sz="8" w:space="0" w:color="D6DEEB"/>
          <w:insideV w:val="single" w:sz="8" w:space="0" w:color="D6DEEB"/>
        </w:tblBorders>
      </w:tblPr>
      <w:tblGrid>
        <w:gridCol w:w="2324"/>
        <w:gridCol w:w="3969"/>
        <w:gridCol w:w="2835"/>
      </w:tblGrid>
      <w:tr>
        <w:tc>
          <w:tcPr>
            <w:tcW w:type="dxa" w:w="3400"/>
            <w:shd w:fill="1A477D"/>
            <w:tcMar>
              <w:top w:w="80" w:type="dxa"/>
              <w:start w:w="100" w:type="dxa"/>
              <w:bottom w:w="80" w:type="dxa"/>
              <w:end w:w="100" w:type="dxa"/>
            </w:tcMar>
          </w:tcPr>
          <w:p>
            <w:pPr>
              <w:pStyle w:val="SectionHeader"/>
              <w:spacing w:before="0" w:after="0" w:line="259" w:lineRule="auto"/>
            </w:pPr>
            <w:r>
              <w:t>Risque</w:t>
            </w:r>
          </w:p>
        </w:tc>
        <w:tc>
          <w:tcPr>
            <w:tcW w:type="dxa" w:w="3400"/>
            <w:shd w:fill="1A477D"/>
            <w:tcMar>
              <w:top w:w="80" w:type="dxa"/>
              <w:start w:w="100" w:type="dxa"/>
              <w:bottom w:w="80" w:type="dxa"/>
              <w:end w:w="100" w:type="dxa"/>
            </w:tcMar>
          </w:tcPr>
          <w:p>
            <w:pPr>
              <w:pStyle w:val="SectionHeader"/>
              <w:spacing w:before="0" w:after="0" w:line="259" w:lineRule="auto"/>
            </w:pPr>
            <w:r>
              <w:t>Effet</w:t>
            </w:r>
          </w:p>
        </w:tc>
        <w:tc>
          <w:tcPr>
            <w:tcW w:type="dxa" w:w="3400"/>
            <w:shd w:fill="1A477D"/>
            <w:tcMar>
              <w:top w:w="80" w:type="dxa"/>
              <w:start w:w="100" w:type="dxa"/>
              <w:bottom w:w="80" w:type="dxa"/>
              <w:end w:w="100" w:type="dxa"/>
            </w:tcMar>
          </w:tcPr>
          <w:p>
            <w:pPr>
              <w:pStyle w:val="SectionHeader"/>
              <w:spacing w:before="0" w:after="0" w:line="259" w:lineRule="auto"/>
            </w:pPr>
            <w:r>
              <w:t>Décision V1</w:t>
            </w:r>
          </w:p>
        </w:tc>
      </w:tr>
      <w:tr>
        <w:tc>
          <w:tcPr>
            <w:tcW w:type="dxa" w:w="2324"/>
            <w:tcMar>
              <w:top w:w="80" w:type="dxa"/>
              <w:start w:w="100" w:type="dxa"/>
              <w:bottom w:w="80" w:type="dxa"/>
              <w:end w:w="100" w:type="dxa"/>
            </w:tcMar>
          </w:tcPr>
          <w:p>
            <w:pPr>
              <w:pStyle w:val="TableText"/>
              <w:spacing w:before="0" w:after="0" w:line="259" w:lineRule="auto"/>
            </w:pPr>
            <w:r>
              <w:t>Types génériques incomplets</w:t>
            </w:r>
          </w:p>
        </w:tc>
        <w:tc>
          <w:tcPr>
            <w:tcW w:type="dxa" w:w="3969"/>
            <w:tcMar>
              <w:top w:w="80" w:type="dxa"/>
              <w:start w:w="100" w:type="dxa"/>
              <w:bottom w:w="80" w:type="dxa"/>
              <w:end w:w="100" w:type="dxa"/>
            </w:tcMar>
          </w:tcPr>
          <w:p>
            <w:pPr>
              <w:pStyle w:val="TableText"/>
              <w:spacing w:before="0" w:after="0" w:line="259" w:lineRule="auto"/>
            </w:pPr>
            <w:r>
              <w:t>Mapping insuffisant ou faux type HA</w:t>
            </w:r>
          </w:p>
        </w:tc>
        <w:tc>
          <w:tcPr>
            <w:tcW w:type="dxa" w:w="2835"/>
            <w:tcMar>
              <w:top w:w="80" w:type="dxa"/>
              <w:start w:w="100" w:type="dxa"/>
              <w:bottom w:w="80" w:type="dxa"/>
              <w:end w:w="100" w:type="dxa"/>
            </w:tcMar>
          </w:tcPr>
          <w:p>
            <w:pPr>
              <w:pStyle w:val="TableText"/>
              <w:spacing w:before="0" w:after="0" w:line="259" w:lineRule="auto"/>
            </w:pPr>
            <w:r>
              <w:t>Assumer une dégradation élégante : sensor/button plutôt qu’un type “riche” incorrect ; exposer un diagnostic clair.</w:t>
            </w:r>
          </w:p>
        </w:tc>
      </w:tr>
      <w:tr>
        <w:tc>
          <w:tcPr>
            <w:tcW w:type="dxa" w:w="2324"/>
            <w:tcMar>
              <w:top w:w="80" w:type="dxa"/>
              <w:start w:w="100" w:type="dxa"/>
              <w:bottom w:w="80" w:type="dxa"/>
              <w:end w:w="100" w:type="dxa"/>
            </w:tcMar>
          </w:tcPr>
          <w:p>
            <w:pPr>
              <w:pStyle w:val="TableText"/>
              <w:spacing w:before="0" w:after="0" w:line="259" w:lineRule="auto"/>
            </w:pPr>
            <w:r>
              <w:t>Commandes atypiques selon plugin</w:t>
            </w:r>
          </w:p>
        </w:tc>
        <w:tc>
          <w:tcPr>
            <w:tcW w:type="dxa" w:w="3969"/>
            <w:tcMar>
              <w:top w:w="80" w:type="dxa"/>
              <w:start w:w="100" w:type="dxa"/>
              <w:bottom w:w="80" w:type="dxa"/>
              <w:end w:w="100" w:type="dxa"/>
            </w:tcMar>
          </w:tcPr>
          <w:p>
            <w:pPr>
              <w:pStyle w:val="TableText"/>
              <w:spacing w:before="0" w:after="0" w:line="259" w:lineRule="auto"/>
            </w:pPr>
            <w:r>
              <w:t>Support partiel de certains équipements</w:t>
            </w:r>
          </w:p>
        </w:tc>
        <w:tc>
          <w:tcPr>
            <w:tcW w:type="dxa" w:w="2835"/>
            <w:tcMar>
              <w:top w:w="80" w:type="dxa"/>
              <w:start w:w="100" w:type="dxa"/>
              <w:bottom w:w="80" w:type="dxa"/>
              <w:end w:w="100" w:type="dxa"/>
            </w:tcMar>
          </w:tcPr>
          <w:p>
            <w:pPr>
              <w:pStyle w:val="TableText"/>
              <w:spacing w:before="0" w:after="0" w:line="259" w:lineRule="auto"/>
            </w:pPr>
            <w:r>
              <w:t>Limiter la V1 aux familles standards ; documenter les exclusions.</w:t>
            </w:r>
          </w:p>
        </w:tc>
      </w:tr>
      <w:tr>
        <w:tc>
          <w:tcPr>
            <w:tcW w:type="dxa" w:w="2324"/>
            <w:tcMar>
              <w:top w:w="80" w:type="dxa"/>
              <w:start w:w="100" w:type="dxa"/>
              <w:bottom w:w="80" w:type="dxa"/>
              <w:end w:w="100" w:type="dxa"/>
            </w:tcMar>
          </w:tcPr>
          <w:p>
            <w:pPr>
              <w:pStyle w:val="TableText"/>
              <w:spacing w:before="0" w:after="0" w:line="259" w:lineRule="auto"/>
            </w:pPr>
            <w:r>
              <w:t>État Jeedom non immédiatement relisible</w:t>
            </w:r>
          </w:p>
        </w:tc>
        <w:tc>
          <w:tcPr>
            <w:tcW w:type="dxa" w:w="3969"/>
            <w:tcMar>
              <w:top w:w="80" w:type="dxa"/>
              <w:start w:w="100" w:type="dxa"/>
              <w:bottom w:w="80" w:type="dxa"/>
              <w:end w:w="100" w:type="dxa"/>
            </w:tcMar>
          </w:tcPr>
          <w:p>
            <w:pPr>
              <w:pStyle w:val="TableText"/>
              <w:spacing w:before="0" w:after="0" w:line="259" w:lineRule="auto"/>
            </w:pPr>
            <w:r>
              <w:t>Écart momentané entre action et état</w:t>
            </w:r>
          </w:p>
        </w:tc>
        <w:tc>
          <w:tcPr>
            <w:tcW w:type="dxa" w:w="2835"/>
            <w:tcMar>
              <w:top w:w="80" w:type="dxa"/>
              <w:start w:w="100" w:type="dxa"/>
              <w:bottom w:w="80" w:type="dxa"/>
              <w:end w:w="100" w:type="dxa"/>
            </w:tcMar>
          </w:tcPr>
          <w:p>
            <w:pPr>
              <w:pStyle w:val="TableText"/>
              <w:spacing w:before="0" w:after="0" w:line="259" w:lineRule="auto"/>
            </w:pPr>
            <w:r>
              <w:t>Préférer l’état réel ; éviter le mode optimiste quand c’est possible.</w:t>
            </w:r>
          </w:p>
        </w:tc>
      </w:tr>
      <w:tr>
        <w:tc>
          <w:tcPr>
            <w:tcW w:type="dxa" w:w="2324"/>
            <w:tcMar>
              <w:top w:w="80" w:type="dxa"/>
              <w:start w:w="100" w:type="dxa"/>
              <w:bottom w:w="80" w:type="dxa"/>
              <w:end w:w="100" w:type="dxa"/>
            </w:tcMar>
          </w:tcPr>
          <w:p>
            <w:pPr>
              <w:pStyle w:val="TableText"/>
              <w:spacing w:before="0" w:after="0" w:line="259" w:lineRule="auto"/>
            </w:pPr>
            <w:r>
              <w:t>Volume important de discovery</w:t>
            </w:r>
          </w:p>
        </w:tc>
        <w:tc>
          <w:tcPr>
            <w:tcW w:type="dxa" w:w="3969"/>
            <w:tcMar>
              <w:top w:w="80" w:type="dxa"/>
              <w:start w:w="100" w:type="dxa"/>
              <w:bottom w:w="80" w:type="dxa"/>
              <w:end w:w="100" w:type="dxa"/>
            </w:tcMar>
          </w:tcPr>
          <w:p>
            <w:pPr>
              <w:pStyle w:val="TableText"/>
              <w:spacing w:before="0" w:after="0" w:line="259" w:lineRule="auto"/>
            </w:pPr>
            <w:r>
              <w:t>Charge MQTT/HA au redémarrage</w:t>
            </w:r>
          </w:p>
        </w:tc>
        <w:tc>
          <w:tcPr>
            <w:tcW w:type="dxa" w:w="2835"/>
            <w:tcMar>
              <w:top w:w="80" w:type="dxa"/>
              <w:start w:w="100" w:type="dxa"/>
              <w:bottom w:w="80" w:type="dxa"/>
              <w:end w:w="100" w:type="dxa"/>
            </w:tcMar>
          </w:tcPr>
          <w:p>
            <w:pPr>
              <w:pStyle w:val="TableText"/>
              <w:spacing w:before="0" w:after="0" w:line="259" w:lineRule="auto"/>
            </w:pPr>
            <w:r>
              <w:t>Réémettre intelligemment sur le birth message et maîtriser la volumétrie.</w:t>
            </w:r>
          </w:p>
        </w:tc>
      </w:tr>
      <w:tr>
        <w:tc>
          <w:tcPr>
            <w:tcW w:type="dxa" w:w="2324"/>
            <w:tcMar>
              <w:top w:w="80" w:type="dxa"/>
              <w:start w:w="100" w:type="dxa"/>
              <w:bottom w:w="80" w:type="dxa"/>
              <w:end w:w="100" w:type="dxa"/>
            </w:tcMar>
          </w:tcPr>
          <w:p>
            <w:pPr>
              <w:pStyle w:val="TableText"/>
              <w:spacing w:before="0" w:after="0" w:line="259" w:lineRule="auto"/>
            </w:pPr>
            <w:r>
              <w:t>Temps partiel du projet</w:t>
            </w:r>
          </w:p>
        </w:tc>
        <w:tc>
          <w:tcPr>
            <w:tcW w:type="dxa" w:w="3969"/>
            <w:tcMar>
              <w:top w:w="80" w:type="dxa"/>
              <w:start w:w="100" w:type="dxa"/>
              <w:bottom w:w="80" w:type="dxa"/>
              <w:end w:w="100" w:type="dxa"/>
            </w:tcMar>
          </w:tcPr>
          <w:p>
            <w:pPr>
              <w:pStyle w:val="TableText"/>
              <w:spacing w:before="0" w:after="0" w:line="259" w:lineRule="auto"/>
            </w:pPr>
            <w:r>
              <w:t>Risque de dispersion</w:t>
            </w:r>
          </w:p>
        </w:tc>
        <w:tc>
          <w:tcPr>
            <w:tcW w:type="dxa" w:w="2835"/>
            <w:tcMar>
              <w:top w:w="80" w:type="dxa"/>
              <w:start w:w="100" w:type="dxa"/>
              <w:bottom w:w="80" w:type="dxa"/>
              <w:end w:w="100" w:type="dxa"/>
            </w:tcMar>
          </w:tcPr>
          <w:p>
            <w:pPr>
              <w:pStyle w:val="TableText"/>
              <w:spacing w:before="0" w:after="0" w:line="259" w:lineRule="auto"/>
            </w:pPr>
            <w:r>
              <w:t>Protéger le périmètre V1 et refuser les demandes hors scope.</w:t>
            </w:r>
          </w:p>
        </w:tc>
      </w:tr>
    </w:tbl>
    <w:p>
      <w:pPr>
        <w:pStyle w:val="Heading1"/>
      </w:pPr>
      <w:r>
        <w:t>12. Planning indicatif à 5 h/semaine</w:t>
      </w:r>
    </w:p>
    <w:p>
      <w:pPr>
        <w:pStyle w:val="ListBullet"/>
        <w:spacing w:after="40" w:line="259" w:lineRule="auto"/>
        <w:ind w:left="113"/>
      </w:pPr>
      <w:r>
        <w:t>Semaines 1 à 3 : squelette plugin, démon, lecture inventaire Jeedom, premiers tests locaux.</w:t>
      </w:r>
    </w:p>
    <w:p>
      <w:pPr>
        <w:pStyle w:val="ListBullet"/>
        <w:spacing w:after="40" w:line="259" w:lineRule="auto"/>
        <w:ind w:left="113"/>
      </w:pPr>
      <w:r>
        <w:t>Semaines 4 à 6 : mapping V1, publication MQTT Discovery, premiers équipements visibles dans HA.</w:t>
      </w:r>
    </w:p>
    <w:p>
      <w:pPr>
        <w:pStyle w:val="ListBullet"/>
        <w:spacing w:after="40" w:line="259" w:lineRule="auto"/>
        <w:ind w:left="113"/>
      </w:pPr>
      <w:r>
        <w:t>Semaines 7 à 9 : commandes retour HA -&gt; Jeedom, états cohérents, disponibilité, logs.</w:t>
      </w:r>
    </w:p>
    <w:p>
      <w:pPr>
        <w:pStyle w:val="ListBullet"/>
        <w:spacing w:after="40" w:line="259" w:lineRule="auto"/>
        <w:ind w:left="113"/>
      </w:pPr>
      <w:r>
        <w:t>Semaines 10 à 12 : scénarios, rescan, renommage, suppression, exclusions.</w:t>
      </w:r>
    </w:p>
    <w:p>
      <w:pPr>
        <w:pStyle w:val="ListBullet"/>
        <w:spacing w:after="40" w:line="259" w:lineRule="auto"/>
        <w:ind w:left="113"/>
      </w:pPr>
      <w:r>
        <w:t>Semaines 13 à 16 : UX de configuration, diagnostic, documentation, bêta privée.</w:t>
      </w:r>
    </w:p>
    <w:p>
      <w:pPr>
        <w:pStyle w:val="ListBullet"/>
        <w:spacing w:after="40" w:line="259" w:lineRule="auto"/>
        <w:ind w:left="113"/>
      </w:pPr>
      <w:r>
        <w:t>Au-delà : fiabilisation, edge cases, préparation Market, bêta publique puis stable.</w:t>
      </w:r>
    </w:p>
    <w:p>
      <w:pPr>
        <w:pStyle w:val="Heading1"/>
      </w:pPr>
      <w:r>
        <w:t>13. Brief de lancement pour les agents BMAD</w:t>
      </w:r>
    </w:p>
    <w:p>
      <w:pPr>
        <w:pStyle w:val="QuoteBox"/>
        <w:spacing w:line="259" w:lineRule="auto"/>
      </w:pPr>
      <w:r>
        <w:t>Mission : concevoir et livrer une V1 de plugin Jeedom qui publie automatiquement vers Home Assistant les équipements Jeedom standards déjà correctement typés, avec un haut niveau de fiabilité et un périmètre strictement limité. Le projet ne doit pas viser la couverture exhaustive de Jeedom en V1.</w:t>
      </w:r>
    </w:p>
    <w:tbl>
      <w:tblPr>
        <w:tblW w:type="auto" w:w="0"/>
        <w:jc w:val="left"/>
        <w:tblLayout w:type="fixed"/>
        <w:tblLook w:firstColumn="1" w:firstRow="1" w:lastColumn="0" w:lastRow="0" w:noHBand="0" w:noVBand="1" w:val="04A0"/>
        <w:tblBorders>
          <w:top w:val="single" w:sz="8" w:space="0" w:color="D6DEEB"/>
          <w:left w:val="single" w:sz="8" w:space="0" w:color="D6DEEB"/>
          <w:bottom w:val="single" w:sz="8" w:space="0" w:color="D6DEEB"/>
          <w:right w:val="single" w:sz="8" w:space="0" w:color="D6DEEB"/>
          <w:insideH w:val="single" w:sz="8" w:space="0" w:color="D6DEEB"/>
          <w:insideV w:val="single" w:sz="8" w:space="0" w:color="D6DEEB"/>
        </w:tblBorders>
      </w:tblPr>
      <w:tblGrid>
        <w:gridCol w:w="2041"/>
        <w:gridCol w:w="3402"/>
        <w:gridCol w:w="3685"/>
      </w:tblGrid>
      <w:tr>
        <w:tc>
          <w:tcPr>
            <w:tcW w:type="dxa" w:w="3400"/>
            <w:shd w:fill="1A477D"/>
            <w:tcMar>
              <w:top w:w="80" w:type="dxa"/>
              <w:start w:w="100" w:type="dxa"/>
              <w:bottom w:w="80" w:type="dxa"/>
              <w:end w:w="100" w:type="dxa"/>
            </w:tcMar>
          </w:tcPr>
          <w:p>
            <w:pPr>
              <w:pStyle w:val="SectionHeader"/>
              <w:spacing w:before="0" w:after="0" w:line="259" w:lineRule="auto"/>
            </w:pPr>
            <w:r>
              <w:t>Agent</w:t>
            </w:r>
          </w:p>
        </w:tc>
        <w:tc>
          <w:tcPr>
            <w:tcW w:type="dxa" w:w="3400"/>
            <w:shd w:fill="1A477D"/>
            <w:tcMar>
              <w:top w:w="80" w:type="dxa"/>
              <w:start w:w="100" w:type="dxa"/>
              <w:bottom w:w="80" w:type="dxa"/>
              <w:end w:w="100" w:type="dxa"/>
            </w:tcMar>
          </w:tcPr>
          <w:p>
            <w:pPr>
              <w:pStyle w:val="SectionHeader"/>
              <w:spacing w:before="0" w:after="0" w:line="259" w:lineRule="auto"/>
            </w:pPr>
            <w:r>
              <w:t>Responsabilité</w:t>
            </w:r>
          </w:p>
        </w:tc>
        <w:tc>
          <w:tcPr>
            <w:tcW w:type="dxa" w:w="3400"/>
            <w:shd w:fill="1A477D"/>
            <w:tcMar>
              <w:top w:w="80" w:type="dxa"/>
              <w:start w:w="100" w:type="dxa"/>
              <w:bottom w:w="80" w:type="dxa"/>
              <w:end w:w="100" w:type="dxa"/>
            </w:tcMar>
          </w:tcPr>
          <w:p>
            <w:pPr>
              <w:pStyle w:val="SectionHeader"/>
              <w:spacing w:before="0" w:after="0" w:line="259" w:lineRule="auto"/>
            </w:pPr>
            <w:r>
              <w:t>Sortie attendue</w:t>
            </w:r>
          </w:p>
        </w:tc>
      </w:tr>
      <w:tr>
        <w:tc>
          <w:tcPr>
            <w:tcW w:type="dxa" w:w="2041"/>
            <w:tcMar>
              <w:top w:w="80" w:type="dxa"/>
              <w:start w:w="100" w:type="dxa"/>
              <w:bottom w:w="80" w:type="dxa"/>
              <w:end w:w="100" w:type="dxa"/>
            </w:tcMar>
          </w:tcPr>
          <w:p>
            <w:pPr>
              <w:pStyle w:val="TableText"/>
              <w:spacing w:before="0" w:after="0" w:line="259" w:lineRule="auto"/>
            </w:pPr>
            <w:r>
              <w:t>PO / Product</w:t>
            </w:r>
          </w:p>
        </w:tc>
        <w:tc>
          <w:tcPr>
            <w:tcW w:type="dxa" w:w="3402"/>
            <w:tcMar>
              <w:top w:w="80" w:type="dxa"/>
              <w:start w:w="100" w:type="dxa"/>
              <w:bottom w:w="80" w:type="dxa"/>
              <w:end w:w="100" w:type="dxa"/>
            </w:tcMar>
          </w:tcPr>
          <w:p>
            <w:pPr>
              <w:pStyle w:val="TableText"/>
              <w:spacing w:before="0" w:after="0" w:line="259" w:lineRule="auto"/>
            </w:pPr>
            <w:r>
              <w:t>Verrouiller le scope V1, rédiger user stories, définir DoD et arbitrages</w:t>
            </w:r>
          </w:p>
        </w:tc>
        <w:tc>
          <w:tcPr>
            <w:tcW w:type="dxa" w:w="3685"/>
            <w:tcMar>
              <w:top w:w="80" w:type="dxa"/>
              <w:start w:w="100" w:type="dxa"/>
              <w:bottom w:w="80" w:type="dxa"/>
              <w:end w:w="100" w:type="dxa"/>
            </w:tcMar>
          </w:tcPr>
          <w:p>
            <w:pPr>
              <w:pStyle w:val="TableText"/>
              <w:spacing w:before="0" w:after="0" w:line="259" w:lineRule="auto"/>
            </w:pPr>
            <w:r>
              <w:t>Backlog priorisé + user stories + non-objectifs explicites</w:t>
            </w:r>
          </w:p>
        </w:tc>
      </w:tr>
      <w:tr>
        <w:tc>
          <w:tcPr>
            <w:tcW w:type="dxa" w:w="2041"/>
            <w:tcMar>
              <w:top w:w="80" w:type="dxa"/>
              <w:start w:w="100" w:type="dxa"/>
              <w:bottom w:w="80" w:type="dxa"/>
              <w:end w:w="100" w:type="dxa"/>
            </w:tcMar>
          </w:tcPr>
          <w:p>
            <w:pPr>
              <w:pStyle w:val="TableText"/>
              <w:spacing w:before="0" w:after="0" w:line="259" w:lineRule="auto"/>
            </w:pPr>
            <w:r>
              <w:t>Architecte</w:t>
            </w:r>
          </w:p>
        </w:tc>
        <w:tc>
          <w:tcPr>
            <w:tcW w:type="dxa" w:w="3402"/>
            <w:tcMar>
              <w:top w:w="80" w:type="dxa"/>
              <w:start w:w="100" w:type="dxa"/>
              <w:bottom w:w="80" w:type="dxa"/>
              <w:end w:w="100" w:type="dxa"/>
            </w:tcMar>
          </w:tcPr>
          <w:p>
            <w:pPr>
              <w:pStyle w:val="TableText"/>
              <w:spacing w:before="0" w:after="0" w:line="259" w:lineRule="auto"/>
            </w:pPr>
            <w:r>
              <w:t>Définir modèle de données, mapping, topics MQTT, stratégie de réconciliation</w:t>
            </w:r>
          </w:p>
        </w:tc>
        <w:tc>
          <w:tcPr>
            <w:tcW w:type="dxa" w:w="3685"/>
            <w:tcMar>
              <w:top w:w="80" w:type="dxa"/>
              <w:start w:w="100" w:type="dxa"/>
              <w:bottom w:w="80" w:type="dxa"/>
              <w:end w:w="100" w:type="dxa"/>
            </w:tcMar>
          </w:tcPr>
          <w:p>
            <w:pPr>
              <w:pStyle w:val="TableText"/>
              <w:spacing w:before="0" w:after="0" w:line="259" w:lineRule="auto"/>
            </w:pPr>
            <w:r>
              <w:t>ADR d’architecture + conventions + schémas</w:t>
            </w:r>
          </w:p>
        </w:tc>
      </w:tr>
      <w:tr>
        <w:tc>
          <w:tcPr>
            <w:tcW w:type="dxa" w:w="2041"/>
            <w:tcMar>
              <w:top w:w="80" w:type="dxa"/>
              <w:start w:w="100" w:type="dxa"/>
              <w:bottom w:w="80" w:type="dxa"/>
              <w:end w:w="100" w:type="dxa"/>
            </w:tcMar>
          </w:tcPr>
          <w:p>
            <w:pPr>
              <w:pStyle w:val="TableText"/>
              <w:spacing w:before="0" w:after="0" w:line="259" w:lineRule="auto"/>
            </w:pPr>
            <w:r>
              <w:t>Dev Plugin</w:t>
            </w:r>
          </w:p>
        </w:tc>
        <w:tc>
          <w:tcPr>
            <w:tcW w:type="dxa" w:w="3402"/>
            <w:tcMar>
              <w:top w:w="80" w:type="dxa"/>
              <w:start w:w="100" w:type="dxa"/>
              <w:bottom w:w="80" w:type="dxa"/>
              <w:end w:w="100" w:type="dxa"/>
            </w:tcMar>
          </w:tcPr>
          <w:p>
            <w:pPr>
              <w:pStyle w:val="TableText"/>
              <w:spacing w:before="0" w:after="0" w:line="259" w:lineRule="auto"/>
            </w:pPr>
            <w:r>
              <w:t>Créer plugin PHP, config, gestion démon, pages diagnostic</w:t>
            </w:r>
          </w:p>
        </w:tc>
        <w:tc>
          <w:tcPr>
            <w:tcW w:type="dxa" w:w="3685"/>
            <w:tcMar>
              <w:top w:w="80" w:type="dxa"/>
              <w:start w:w="100" w:type="dxa"/>
              <w:bottom w:w="80" w:type="dxa"/>
              <w:end w:w="100" w:type="dxa"/>
            </w:tcMar>
          </w:tcPr>
          <w:p>
            <w:pPr>
              <w:pStyle w:val="TableText"/>
              <w:spacing w:before="0" w:after="0" w:line="259" w:lineRule="auto"/>
            </w:pPr>
            <w:r>
              <w:t>Plugin installable + écran de config + logs</w:t>
            </w:r>
          </w:p>
        </w:tc>
      </w:tr>
      <w:tr>
        <w:tc>
          <w:tcPr>
            <w:tcW w:type="dxa" w:w="2041"/>
            <w:tcMar>
              <w:top w:w="80" w:type="dxa"/>
              <w:start w:w="100" w:type="dxa"/>
              <w:bottom w:w="80" w:type="dxa"/>
              <w:end w:w="100" w:type="dxa"/>
            </w:tcMar>
          </w:tcPr>
          <w:p>
            <w:pPr>
              <w:pStyle w:val="TableText"/>
              <w:spacing w:before="0" w:after="0" w:line="259" w:lineRule="auto"/>
            </w:pPr>
            <w:r>
              <w:t>Dev Démon</w:t>
            </w:r>
          </w:p>
        </w:tc>
        <w:tc>
          <w:tcPr>
            <w:tcW w:type="dxa" w:w="3402"/>
            <w:tcMar>
              <w:top w:w="80" w:type="dxa"/>
              <w:start w:w="100" w:type="dxa"/>
              <w:bottom w:w="80" w:type="dxa"/>
              <w:end w:w="100" w:type="dxa"/>
            </w:tcMar>
          </w:tcPr>
          <w:p>
            <w:pPr>
              <w:pStyle w:val="TableText"/>
              <w:spacing w:before="0" w:after="0" w:line="259" w:lineRule="auto"/>
            </w:pPr>
            <w:r>
              <w:t>Implémenter bootstrap, cache, mapping, discovery, exécution des commandes</w:t>
            </w:r>
          </w:p>
        </w:tc>
        <w:tc>
          <w:tcPr>
            <w:tcW w:type="dxa" w:w="3685"/>
            <w:tcMar>
              <w:top w:w="80" w:type="dxa"/>
              <w:start w:w="100" w:type="dxa"/>
              <w:bottom w:w="80" w:type="dxa"/>
              <w:end w:w="100" w:type="dxa"/>
            </w:tcMar>
          </w:tcPr>
          <w:p>
            <w:pPr>
              <w:pStyle w:val="TableText"/>
              <w:spacing w:before="0" w:after="0" w:line="259" w:lineRule="auto"/>
            </w:pPr>
            <w:r>
              <w:t>Démon fonctionnel + tests d’intégration locaux</w:t>
            </w:r>
          </w:p>
        </w:tc>
      </w:tr>
      <w:tr>
        <w:tc>
          <w:tcPr>
            <w:tcW w:type="dxa" w:w="2041"/>
            <w:tcMar>
              <w:top w:w="80" w:type="dxa"/>
              <w:start w:w="100" w:type="dxa"/>
              <w:bottom w:w="80" w:type="dxa"/>
              <w:end w:w="100" w:type="dxa"/>
            </w:tcMar>
          </w:tcPr>
          <w:p>
            <w:pPr>
              <w:pStyle w:val="TableText"/>
              <w:spacing w:before="0" w:after="0" w:line="259" w:lineRule="auto"/>
            </w:pPr>
            <w:r>
              <w:t>QA</w:t>
            </w:r>
          </w:p>
        </w:tc>
        <w:tc>
          <w:tcPr>
            <w:tcW w:type="dxa" w:w="3402"/>
            <w:tcMar>
              <w:top w:w="80" w:type="dxa"/>
              <w:start w:w="100" w:type="dxa"/>
              <w:bottom w:w="80" w:type="dxa"/>
              <w:end w:w="100" w:type="dxa"/>
            </w:tcMar>
          </w:tcPr>
          <w:p>
            <w:pPr>
              <w:pStyle w:val="TableText"/>
              <w:spacing w:before="0" w:after="0" w:line="259" w:lineRule="auto"/>
            </w:pPr>
            <w:r>
              <w:t>Définir matrice de tests, tests de renommage/suppression/redémarrage</w:t>
            </w:r>
          </w:p>
        </w:tc>
        <w:tc>
          <w:tcPr>
            <w:tcW w:type="dxa" w:w="3685"/>
            <w:tcMar>
              <w:top w:w="80" w:type="dxa"/>
              <w:start w:w="100" w:type="dxa"/>
              <w:bottom w:w="80" w:type="dxa"/>
              <w:end w:w="100" w:type="dxa"/>
            </w:tcMar>
          </w:tcPr>
          <w:p>
            <w:pPr>
              <w:pStyle w:val="TableText"/>
              <w:spacing w:before="0" w:after="0" w:line="259" w:lineRule="auto"/>
            </w:pPr>
            <w:r>
              <w:t>Plan de test + rapport de non-régression</w:t>
            </w:r>
          </w:p>
        </w:tc>
      </w:tr>
      <w:tr>
        <w:tc>
          <w:tcPr>
            <w:tcW w:type="dxa" w:w="2041"/>
            <w:tcMar>
              <w:top w:w="80" w:type="dxa"/>
              <w:start w:w="100" w:type="dxa"/>
              <w:bottom w:w="80" w:type="dxa"/>
              <w:end w:w="100" w:type="dxa"/>
            </w:tcMar>
          </w:tcPr>
          <w:p>
            <w:pPr>
              <w:pStyle w:val="TableText"/>
              <w:spacing w:before="0" w:after="0" w:line="259" w:lineRule="auto"/>
            </w:pPr>
            <w:r>
              <w:t>Doc</w:t>
            </w:r>
          </w:p>
        </w:tc>
        <w:tc>
          <w:tcPr>
            <w:tcW w:type="dxa" w:w="3402"/>
            <w:tcMar>
              <w:top w:w="80" w:type="dxa"/>
              <w:start w:w="100" w:type="dxa"/>
              <w:bottom w:w="80" w:type="dxa"/>
              <w:end w:w="100" w:type="dxa"/>
            </w:tcMar>
          </w:tcPr>
          <w:p>
            <w:pPr>
              <w:pStyle w:val="TableText"/>
              <w:spacing w:before="0" w:after="0" w:line="259" w:lineRule="auto"/>
            </w:pPr>
            <w:r>
              <w:t>Rédiger doc d’installation, limites V1, FAQ de dépannage</w:t>
            </w:r>
          </w:p>
        </w:tc>
        <w:tc>
          <w:tcPr>
            <w:tcW w:type="dxa" w:w="3685"/>
            <w:tcMar>
              <w:top w:w="80" w:type="dxa"/>
              <w:start w:w="100" w:type="dxa"/>
              <w:bottom w:w="80" w:type="dxa"/>
              <w:end w:w="100" w:type="dxa"/>
            </w:tcMar>
          </w:tcPr>
          <w:p>
            <w:pPr>
              <w:pStyle w:val="TableText"/>
              <w:spacing w:before="0" w:after="0" w:line="259" w:lineRule="auto"/>
            </w:pPr>
            <w:r>
              <w:t>Documentation utilisateur et développeur</w:t>
            </w:r>
          </w:p>
        </w:tc>
      </w:tr>
    </w:tbl>
    <w:p>
      <w:pPr>
        <w:pStyle w:val="Heading1"/>
      </w:pPr>
      <w:r>
        <w:t>14. Première liste de user stories</w:t>
      </w:r>
    </w:p>
    <w:p>
      <w:pPr>
        <w:pStyle w:val="ListBullet"/>
        <w:spacing w:after="40" w:line="259" w:lineRule="auto"/>
        <w:ind w:left="113"/>
      </w:pPr>
      <w:r>
        <w:t>En tant qu’utilisateur Jeedom, je veux retrouver automatiquement mes lumières, prises, volets et capteurs simples dans Home Assistant sans reconfigurer chaque équipement.</w:t>
      </w:r>
    </w:p>
    <w:p>
      <w:pPr>
        <w:pStyle w:val="ListBullet"/>
        <w:spacing w:after="40" w:line="259" w:lineRule="auto"/>
        <w:ind w:left="113"/>
      </w:pPr>
      <w:r>
        <w:t>En tant qu’utilisateur Home Assistant, je veux pouvoir commander une entité publiée et voir son état réel remonter correctement.</w:t>
      </w:r>
    </w:p>
    <w:p>
      <w:pPr>
        <w:pStyle w:val="ListBullet"/>
        <w:spacing w:after="40" w:line="259" w:lineRule="auto"/>
        <w:ind w:left="113"/>
      </w:pPr>
      <w:r>
        <w:t>En tant qu’utilisateur avancé, je veux exclure certains équipements ou familles pour garder un espace HA propre.</w:t>
      </w:r>
    </w:p>
    <w:p>
      <w:pPr>
        <w:pStyle w:val="ListBullet"/>
        <w:spacing w:after="40" w:line="259" w:lineRule="auto"/>
        <w:ind w:left="113"/>
      </w:pPr>
      <w:r>
        <w:t>En tant que bêta-testeur, je veux comprendre pourquoi un équipement n’est pas exposé pour pouvoir corriger mes types génériques ou mon paramétrage.</w:t>
      </w:r>
    </w:p>
    <w:p>
      <w:pPr>
        <w:pStyle w:val="ListBullet"/>
        <w:spacing w:after="40" w:line="259" w:lineRule="auto"/>
        <w:ind w:left="113"/>
      </w:pPr>
      <w:r>
        <w:t>En tant que mainteneur du plugin, je veux des identifiants stables et des logs exploitables afin de diagnostiquer les incidents sans manipulations lourdes.</w:t>
      </w:r>
    </w:p>
    <w:p>
      <w:pPr>
        <w:pStyle w:val="Heading1"/>
      </w:pPr>
      <w:r>
        <w:t>15. Réponse à la question clé : “avec mes types génériques déjà bien en place, cela devrait aller très vite, non ?”</w:t>
      </w:r>
    </w:p>
    <w:tbl>
      <w:tblPr>
        <w:tblW w:type="auto" w:w="0"/>
        <w:jc w:val="left"/>
        <w:tblLayout w:type="fixed"/>
        <w:tblLook w:firstColumn="1" w:firstRow="1" w:lastColumn="0" w:lastRow="0" w:noHBand="0" w:noVBand="1" w:val="04A0"/>
      </w:tblPr>
      <w:tblGrid>
        <w:gridCol w:w="9524"/>
      </w:tblGrid>
      <w:tr>
        <w:tc>
          <w:tcPr>
            <w:tcW w:type="dxa" w:w="10200"/>
            <w:shd w:fill="EAF7EA"/>
            <w:tcMar>
              <w:top w:w="130" w:type="dxa"/>
              <w:start w:w="150" w:type="dxa"/>
              <w:bottom w:w="130" w:type="dxa"/>
              <w:end w:w="150" w:type="dxa"/>
            </w:tcMar>
          </w:tcPr>
          <w:p>
            <w:pPr>
              <w:spacing w:before="0" w:after="0" w:line="259" w:lineRule="auto"/>
            </w:pPr>
            <w:r>
              <w:rPr>
                <w:b/>
                <w:color w:val="2A623D"/>
              </w:rPr>
              <w:t>Réponse courte : oui pour la V1, non pour l’ensemble du produit.</w:t>
              <w:br/>
            </w:r>
            <w:r>
              <w:t>Oui, parce que les types génériques t’évitent une grande partie du travail de classification et rendent réaliste une V1 utile couvrant vite les cas standards. Non, parce qu’un plugin publiable doit encore résoudre la création des entités HA, la stratégie MQTT Discovery, la commande retour, la cohérence d’état, la suppression propre, la réconciliation et l’expérience utilisateur.</w:t>
            </w:r>
          </w:p>
        </w:tc>
      </w:tr>
    </w:tbl>
    <w:p>
      <w:pPr>
        <w:pStyle w:val="ListBullet"/>
        <w:spacing w:after="40" w:line="259" w:lineRule="auto"/>
        <w:ind w:left="113"/>
      </w:pPr>
      <w:r>
        <w:t>Gain réel attendu : le coeur de la sémantique de tes équipements du quotidien est déjà largement présent ; la V1 devient donc crédible avec un faible paramétrage complémentaire.</w:t>
      </w:r>
    </w:p>
    <w:p>
      <w:pPr>
        <w:pStyle w:val="ListBullet"/>
        <w:spacing w:after="40" w:line="259" w:lineRule="auto"/>
        <w:ind w:left="113"/>
      </w:pPr>
      <w:r>
        <w:t>Ce qui restera chronophage : robustesse, cas limites, UX de config, documentation, packaging Market et tests réels.</w:t>
      </w:r>
    </w:p>
    <w:p>
      <w:pPr>
        <w:pStyle w:val="ListBullet"/>
        <w:spacing w:after="40" w:line="259" w:lineRule="auto"/>
        <w:ind w:left="113"/>
      </w:pPr>
      <w:r>
        <w:t>Décision de cadrage : exploiter à fond les types génériques comme premier moteur de mapping, et refuser en V1 les cas que ces types ne permettent pas de classifier proprement.</w:t>
      </w:r>
    </w:p>
    <w:p>
      <w:pPr>
        <w:pStyle w:val="Heading1"/>
      </w:pPr>
      <w:r>
        <w:t>16. Références officielles à utiliser par l’équipe</w:t>
      </w:r>
    </w:p>
    <w:p>
      <w:pPr>
        <w:pStyle w:val="ListBullet"/>
        <w:spacing w:after="40" w:line="259" w:lineRule="auto"/>
      </w:pPr>
      <w:r>
        <w:t>Jeedom - Types génériques : https://doc.jeedom.com/fr_FR/core/4.4/types</w:t>
      </w:r>
    </w:p>
    <w:p>
      <w:pPr>
        <w:pStyle w:val="ListBullet"/>
        <w:spacing w:after="40" w:line="259" w:lineRule="auto"/>
      </w:pPr>
      <w:r>
        <w:t>Jeedom - Plugin Google SmartHome (exemple d’usage des types génériques) : https://doc.jeedom.com/fr_FR/plugins/communication/gsh/beta/</w:t>
      </w:r>
    </w:p>
    <w:p>
      <w:pPr>
        <w:pStyle w:val="ListBullet"/>
        <w:spacing w:after="40" w:line="259" w:lineRule="auto"/>
      </w:pPr>
      <w:r>
        <w:t>Jeedom - Plugin Alexa SmartHome (exemple d’usage des types génériques) : https://doc.jeedom.com/fr_FR/plugins/communication/ash/</w:t>
      </w:r>
    </w:p>
    <w:p>
      <w:pPr>
        <w:pStyle w:val="ListBullet"/>
        <w:spacing w:after="40" w:line="259" w:lineRule="auto"/>
      </w:pPr>
      <w:r>
        <w:t>Jeedom - Démons et dépendances : https://doc.jeedom.com/fr_FR/dev/daemon_plugin</w:t>
      </w:r>
    </w:p>
    <w:p>
      <w:pPr>
        <w:pStyle w:val="ListBullet"/>
        <w:spacing w:after="40" w:line="259" w:lineRule="auto"/>
      </w:pPr>
      <w:r>
        <w:t>Jeedom - Publication Market : https://doc.jeedom.com/fr_FR/dev/publication_plugin</w:t>
      </w:r>
    </w:p>
    <w:p>
      <w:pPr>
        <w:pStyle w:val="ListBullet"/>
        <w:spacing w:after="40" w:line="259" w:lineRule="auto"/>
      </w:pPr>
      <w:r>
        <w:t>Home Assistant - MQTT Discovery : https://www.home-assistant.io/integrations/mqtt/</w:t>
      </w:r>
    </w:p>
    <w:sectPr w:rsidR="00FC693F" w:rsidRPr="0006063C" w:rsidSect="00034616">
      <w:headerReference w:type="default" r:id="rId9"/>
      <w:footerReference w:type="default" r:id="rId10"/>
      <w:pgSz w:w="12240" w:h="15840"/>
      <w:pgMar w:top="1020"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BodySmall"/>
      <w:jc w:val="center"/>
    </w:pPr>
    <w:r>
      <w:t>Document de cadrage - utilisation interne / agents BMAD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BodySmall"/>
      <w:jc w:val="right"/>
    </w:pPr>
    <w:r>
      <w:t>Jeedom -&gt; Home Assistant Bridge - cadrage V1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ptos Display" w:hAnsi="Aptos Display"/>
      <w:b/>
      <w:bCs/>
      <w:color w:val="1A477D"/>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20202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20202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ustom">
    <w:name w:val="SubtitleCustom"/>
    <w:basedOn w:val="Normal"/>
    <w:rPr>
      <w:rFonts w:ascii="Aptos" w:hAnsi="Aptos"/>
      <w:color w:val="435465"/>
      <w:sz w:val="26"/>
    </w:rPr>
  </w:style>
  <w:style w:type="paragraph" w:customStyle="1" w:styleId="CoverMeta">
    <w:name w:val="CoverMeta"/>
    <w:basedOn w:val="Normal"/>
    <w:rPr>
      <w:rFonts w:ascii="Aptos" w:hAnsi="Aptos"/>
      <w:color w:val="606060"/>
      <w:sz w:val="19"/>
    </w:rPr>
  </w:style>
  <w:style w:type="paragraph" w:customStyle="1" w:styleId="SectionHeader">
    <w:name w:val="SectionHeader"/>
    <w:basedOn w:val="Normal"/>
    <w:rPr>
      <w:rFonts w:ascii="Aptos Display" w:hAnsi="Aptos Display"/>
      <w:b/>
      <w:color w:val="FFFFFF"/>
      <w:sz w:val="22"/>
    </w:rPr>
  </w:style>
  <w:style w:type="paragraph" w:customStyle="1" w:styleId="BodySmall">
    <w:name w:val="BodySmall"/>
    <w:basedOn w:val="Normal"/>
    <w:rPr>
      <w:color w:val="505050"/>
      <w:sz w:val="18"/>
    </w:rPr>
  </w:style>
  <w:style w:type="paragraph" w:customStyle="1" w:styleId="TableText">
    <w:name w:val="TableText"/>
    <w:basedOn w:val="Normal"/>
    <w:rPr>
      <w:sz w:val="18"/>
    </w:rPr>
  </w:style>
  <w:style w:type="paragraph" w:customStyle="1" w:styleId="QuoteBox">
    <w:name w:val="QuoteBox"/>
    <w:basedOn w:val="Normal"/>
    <w:rPr>
      <w:i/>
      <w:color w:val="34495E"/>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